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FAB1" w14:textId="77777777" w:rsidR="00B777AF" w:rsidRPr="006B1E21" w:rsidRDefault="00230FE4" w:rsidP="00D574CA">
      <w:pPr>
        <w:pStyle w:val="PolicyMainHead"/>
        <w:tabs>
          <w:tab w:val="left" w:pos="360"/>
        </w:tabs>
        <w:spacing w:after="0" w:line="240" w:lineRule="auto"/>
        <w:rPr>
          <w:rFonts w:ascii="Times New Roman" w:hAnsi="Times New Roman"/>
          <w:color w:val="00548C"/>
          <w:sz w:val="36"/>
        </w:rPr>
        <w:sectPr w:rsidR="00B777AF" w:rsidRPr="006B1E21" w:rsidSect="00CB63DD">
          <w:headerReference w:type="even" r:id="rId12"/>
          <w:headerReference w:type="default" r:id="rId13"/>
          <w:footerReference w:type="even" r:id="rId14"/>
          <w:footerReference w:type="default" r:id="rId15"/>
          <w:headerReference w:type="first" r:id="rId16"/>
          <w:footerReference w:type="first" r:id="rId17"/>
          <w:pgSz w:w="12240" w:h="15840" w:code="1"/>
          <w:pgMar w:top="1440" w:right="907" w:bottom="1152" w:left="1440" w:header="576" w:footer="288" w:gutter="0"/>
          <w:cols w:space="720"/>
          <w:titlePg/>
          <w:docGrid w:linePitch="360"/>
        </w:sectPr>
      </w:pPr>
      <w:r w:rsidRPr="006B1E21">
        <w:rPr>
          <w:rFonts w:ascii="Times New Roman" w:hAnsi="Times New Roman"/>
          <w:color w:val="00548C"/>
          <w:sz w:val="36"/>
        </w:rPr>
        <w:t xml:space="preserve">Clinical </w:t>
      </w:r>
      <w:r w:rsidR="00772335" w:rsidRPr="006B1E21">
        <w:rPr>
          <w:rFonts w:ascii="Times New Roman" w:hAnsi="Times New Roman"/>
          <w:color w:val="00548C"/>
          <w:sz w:val="36"/>
        </w:rPr>
        <w:t xml:space="preserve">Policy: </w:t>
      </w:r>
      <w:r w:rsidR="0061080B" w:rsidRPr="003766B4">
        <w:rPr>
          <w:rFonts w:ascii="Times New Roman" w:hAnsi="Times New Roman"/>
          <w:color w:val="00548C"/>
          <w:sz w:val="36"/>
        </w:rPr>
        <w:t>O</w:t>
      </w:r>
      <w:r w:rsidR="004C1C6A">
        <w:rPr>
          <w:rFonts w:ascii="Times New Roman" w:hAnsi="Times New Roman"/>
          <w:color w:val="00548C"/>
          <w:sz w:val="36"/>
        </w:rPr>
        <w:t xml:space="preserve">utpatient </w:t>
      </w:r>
      <w:r w:rsidR="004C1C6A" w:rsidRPr="006B1E21">
        <w:rPr>
          <w:rFonts w:ascii="Times New Roman" w:hAnsi="Times New Roman"/>
          <w:color w:val="00548C"/>
          <w:sz w:val="36"/>
        </w:rPr>
        <w:t>Oxygen Use</w:t>
      </w:r>
      <w:r w:rsidR="0061080B" w:rsidRPr="00B42351">
        <w:rPr>
          <w:rFonts w:ascii="Times New Roman" w:hAnsi="Times New Roman"/>
          <w:color w:val="00548C"/>
          <w:sz w:val="36"/>
        </w:rPr>
        <w:t xml:space="preserve"> </w:t>
      </w:r>
    </w:p>
    <w:p w14:paraId="6F021F7B" w14:textId="50967192" w:rsidR="00480C09" w:rsidRPr="00B42351" w:rsidRDefault="00D574CA" w:rsidP="00CB63DD">
      <w:pPr>
        <w:pStyle w:val="PolicyMainHead"/>
        <w:spacing w:after="0" w:line="240" w:lineRule="auto"/>
        <w:rPr>
          <w:rFonts w:ascii="Times New Roman" w:hAnsi="Times New Roman"/>
          <w:color w:val="00548C"/>
          <w:sz w:val="24"/>
          <w:szCs w:val="24"/>
        </w:rPr>
        <w:sectPr w:rsidR="00480C09" w:rsidRPr="00B42351" w:rsidSect="00CB63DD">
          <w:type w:val="continuous"/>
          <w:pgSz w:w="12240" w:h="15840" w:code="1"/>
          <w:pgMar w:top="1440" w:right="1170" w:bottom="1152" w:left="1440" w:header="576" w:footer="288" w:gutter="0"/>
          <w:cols w:num="2" w:space="720"/>
          <w:titlePg/>
          <w:docGrid w:linePitch="360"/>
        </w:sectPr>
      </w:pPr>
      <w:r w:rsidRPr="00B42351">
        <w:rPr>
          <w:rFonts w:ascii="Times New Roman" w:hAnsi="Times New Roman"/>
          <w:color w:val="00548C"/>
          <w:sz w:val="24"/>
          <w:szCs w:val="24"/>
        </w:rPr>
        <w:t xml:space="preserve">Reference Number: </w:t>
      </w:r>
      <w:r w:rsidR="003E4855" w:rsidRPr="00B50522">
        <w:rPr>
          <w:rFonts w:ascii="Times New Roman" w:hAnsi="Times New Roman"/>
          <w:color w:val="00548C"/>
          <w:sz w:val="24"/>
          <w:szCs w:val="24"/>
        </w:rPr>
        <w:t>LA.</w:t>
      </w:r>
      <w:r w:rsidRPr="00B42351">
        <w:rPr>
          <w:rFonts w:ascii="Times New Roman" w:hAnsi="Times New Roman"/>
          <w:color w:val="00548C"/>
          <w:sz w:val="24"/>
          <w:szCs w:val="24"/>
        </w:rPr>
        <w:t>CP.</w:t>
      </w:r>
      <w:r w:rsidR="00C96847" w:rsidRPr="00B42351">
        <w:rPr>
          <w:rFonts w:ascii="Times New Roman" w:hAnsi="Times New Roman"/>
          <w:color w:val="00548C"/>
          <w:sz w:val="24"/>
          <w:szCs w:val="24"/>
        </w:rPr>
        <w:t>MP.</w:t>
      </w:r>
      <w:r w:rsidR="003766B4" w:rsidRPr="00B42351">
        <w:rPr>
          <w:rFonts w:ascii="Times New Roman" w:hAnsi="Times New Roman"/>
          <w:color w:val="00548C"/>
          <w:sz w:val="24"/>
          <w:szCs w:val="24"/>
        </w:rPr>
        <w:t>190</w:t>
      </w:r>
      <w:r w:rsidR="000C2DB6">
        <w:rPr>
          <w:rFonts w:ascii="Times New Roman" w:hAnsi="Times New Roman"/>
          <w:color w:val="00548C"/>
          <w:sz w:val="24"/>
          <w:szCs w:val="24"/>
        </w:rPr>
        <w:t>c</w:t>
      </w:r>
      <w:r w:rsidR="00CB63DD" w:rsidRPr="00B42351">
        <w:rPr>
          <w:rFonts w:ascii="Times New Roman" w:hAnsi="Times New Roman"/>
          <w:color w:val="00548C"/>
          <w:sz w:val="24"/>
          <w:szCs w:val="24"/>
        </w:rPr>
        <w:tab/>
      </w:r>
      <w:r w:rsidR="00CB63DD" w:rsidRPr="00B42351">
        <w:rPr>
          <w:rFonts w:ascii="Times New Roman" w:hAnsi="Times New Roman"/>
          <w:color w:val="00548C"/>
          <w:sz w:val="24"/>
          <w:szCs w:val="24"/>
        </w:rPr>
        <w:tab/>
        <w:t xml:space="preserve">  </w:t>
      </w:r>
      <w:r w:rsidR="00CB63DD" w:rsidRPr="00B42351">
        <w:rPr>
          <w:rFonts w:ascii="Times New Roman" w:hAnsi="Times New Roman"/>
          <w:color w:val="00548C"/>
          <w:sz w:val="24"/>
          <w:szCs w:val="24"/>
        </w:rPr>
        <w:tab/>
      </w:r>
      <w:r w:rsidR="00480C09" w:rsidRPr="00B42351">
        <w:rPr>
          <w:rFonts w:ascii="Times New Roman" w:hAnsi="Times New Roman"/>
          <w:color w:val="00548C"/>
          <w:sz w:val="24"/>
          <w:szCs w:val="24"/>
        </w:rPr>
        <w:tab/>
      </w:r>
      <w:r w:rsidR="00CB63DD" w:rsidRPr="00B42351">
        <w:rPr>
          <w:rFonts w:ascii="Times New Roman" w:hAnsi="Times New Roman"/>
          <w:color w:val="00548C"/>
          <w:sz w:val="24"/>
          <w:szCs w:val="24"/>
        </w:rPr>
        <w:tab/>
        <w:t xml:space="preserve">     </w:t>
      </w:r>
      <w:hyperlink w:anchor="Coding_Implications" w:history="1">
        <w:r w:rsidR="00772335" w:rsidRPr="006B1E21">
          <w:rPr>
            <w:rStyle w:val="Hyperlink"/>
            <w:rFonts w:ascii="Times New Roman" w:hAnsi="Times New Roman"/>
            <w:sz w:val="24"/>
          </w:rPr>
          <w:t xml:space="preserve">Coding </w:t>
        </w:r>
        <w:r w:rsidR="007B50D0" w:rsidRPr="006B1E21">
          <w:rPr>
            <w:rStyle w:val="Hyperlink"/>
            <w:rFonts w:ascii="Times New Roman" w:hAnsi="Times New Roman"/>
            <w:sz w:val="24"/>
          </w:rPr>
          <w:t>Implications</w:t>
        </w:r>
      </w:hyperlink>
      <w:r w:rsidR="007B50D0" w:rsidRPr="00B42351">
        <w:rPr>
          <w:rFonts w:ascii="Times New Roman" w:hAnsi="Times New Roman"/>
          <w:color w:val="00548C"/>
          <w:sz w:val="24"/>
          <w:szCs w:val="24"/>
        </w:rPr>
        <w:t xml:space="preserve"> </w:t>
      </w:r>
    </w:p>
    <w:p w14:paraId="3F7EA0F4" w14:textId="2BDD65AE" w:rsidR="00875924" w:rsidRPr="00B42351" w:rsidRDefault="00F5367D" w:rsidP="00CB63DD">
      <w:pPr>
        <w:pStyle w:val="PolicyMainHead"/>
        <w:spacing w:after="0" w:line="240" w:lineRule="auto"/>
        <w:rPr>
          <w:rFonts w:ascii="Times New Roman" w:hAnsi="Times New Roman"/>
          <w:color w:val="00548C"/>
          <w:sz w:val="24"/>
          <w:szCs w:val="24"/>
        </w:rPr>
      </w:pPr>
      <w:r>
        <w:rPr>
          <w:rFonts w:ascii="Times New Roman" w:hAnsi="Times New Roman"/>
          <w:color w:val="00548C"/>
          <w:sz w:val="24"/>
          <w:szCs w:val="24"/>
        </w:rPr>
        <w:t>Date of Last Revision</w:t>
      </w:r>
      <w:r w:rsidR="00D574CA" w:rsidRPr="00B42351">
        <w:rPr>
          <w:rFonts w:ascii="Times New Roman" w:hAnsi="Times New Roman"/>
          <w:color w:val="00548C"/>
          <w:sz w:val="24"/>
          <w:szCs w:val="24"/>
        </w:rPr>
        <w:t xml:space="preserve">: </w:t>
      </w:r>
      <w:r w:rsidR="00290D09">
        <w:rPr>
          <w:rFonts w:ascii="Times New Roman" w:hAnsi="Times New Roman"/>
          <w:color w:val="00548C"/>
          <w:sz w:val="24"/>
          <w:szCs w:val="24"/>
        </w:rPr>
        <w:t>11</w:t>
      </w:r>
      <w:r w:rsidR="00531DB0">
        <w:rPr>
          <w:rFonts w:ascii="Times New Roman" w:hAnsi="Times New Roman"/>
          <w:color w:val="00548C"/>
          <w:sz w:val="24"/>
          <w:szCs w:val="24"/>
        </w:rPr>
        <w:t>/2</w:t>
      </w:r>
      <w:r w:rsidR="00B43DB2">
        <w:rPr>
          <w:rFonts w:ascii="Times New Roman" w:hAnsi="Times New Roman"/>
          <w:color w:val="00548C"/>
          <w:sz w:val="24"/>
          <w:szCs w:val="24"/>
        </w:rPr>
        <w:t>4</w:t>
      </w:r>
    </w:p>
    <w:p w14:paraId="77F18070" w14:textId="77777777" w:rsidR="00875924" w:rsidRPr="006B1E21" w:rsidRDefault="00000000" w:rsidP="00875924">
      <w:pPr>
        <w:pStyle w:val="PolicyMainHead"/>
        <w:tabs>
          <w:tab w:val="left" w:pos="360"/>
        </w:tabs>
        <w:spacing w:after="0" w:line="240" w:lineRule="auto"/>
        <w:jc w:val="right"/>
        <w:rPr>
          <w:rStyle w:val="Strong"/>
          <w:rFonts w:ascii="Times New Roman" w:hAnsi="Times New Roman"/>
          <w:b w:val="0"/>
          <w:u w:val="single"/>
        </w:rPr>
        <w:sectPr w:rsidR="00875924" w:rsidRPr="006B1E21" w:rsidSect="00CB63DD">
          <w:type w:val="continuous"/>
          <w:pgSz w:w="12240" w:h="15840" w:code="1"/>
          <w:pgMar w:top="1440" w:right="1170" w:bottom="1440" w:left="1440" w:header="576" w:footer="288" w:gutter="0"/>
          <w:cols w:num="2" w:space="720"/>
          <w:titlePg/>
          <w:docGrid w:linePitch="360"/>
        </w:sectPr>
      </w:pPr>
      <w:hyperlink w:anchor="Revision_Log" w:history="1">
        <w:r w:rsidR="007B50D0" w:rsidRPr="006B1E21">
          <w:rPr>
            <w:rStyle w:val="Hyperlink"/>
            <w:rFonts w:ascii="Times New Roman" w:hAnsi="Times New Roman"/>
            <w:sz w:val="24"/>
          </w:rPr>
          <w:t>Revision Log</w:t>
        </w:r>
      </w:hyperlink>
      <w:r w:rsidR="00875924" w:rsidRPr="00B42351">
        <w:rPr>
          <w:rFonts w:ascii="Times New Roman" w:hAnsi="Times New Roman"/>
          <w:color w:val="00548C"/>
          <w:sz w:val="24"/>
          <w:szCs w:val="24"/>
        </w:rPr>
        <w:t xml:space="preserve"> </w:t>
      </w:r>
    </w:p>
    <w:p w14:paraId="06D933B0" w14:textId="77777777" w:rsidR="005D7B81" w:rsidRPr="00B42351" w:rsidRDefault="00032D3F" w:rsidP="00032D3F">
      <w:pPr>
        <w:pStyle w:val="NormalWeb"/>
        <w:tabs>
          <w:tab w:val="left" w:pos="975"/>
        </w:tabs>
        <w:spacing w:before="0" w:beforeAutospacing="0" w:after="0" w:afterAutospacing="0"/>
        <w:rPr>
          <w:rFonts w:ascii="Times New Roman" w:hAnsi="Times New Roman" w:cs="Times New Roman"/>
        </w:rPr>
      </w:pPr>
      <w:r w:rsidRPr="00B42351">
        <w:rPr>
          <w:rFonts w:ascii="Times New Roman" w:hAnsi="Times New Roman" w:cs="Times New Roman"/>
        </w:rPr>
        <w:tab/>
      </w:r>
    </w:p>
    <w:p w14:paraId="55A0A919" w14:textId="77777777" w:rsidR="00D574CA" w:rsidRPr="006B1E21" w:rsidRDefault="005D7B81" w:rsidP="00014F7C">
      <w:pPr>
        <w:pStyle w:val="NormalWeb"/>
        <w:spacing w:before="0" w:beforeAutospacing="0" w:after="0" w:afterAutospacing="0"/>
        <w:jc w:val="both"/>
        <w:rPr>
          <w:rStyle w:val="Strong"/>
          <w:rFonts w:ascii="Times New Roman" w:hAnsi="Times New Roman" w:cs="Times New Roman"/>
          <w:b w:val="0"/>
          <w:noProof/>
          <w:color w:val="00548C"/>
          <w:sz w:val="48"/>
          <w:szCs w:val="48"/>
          <w:u w:val="single"/>
        </w:rPr>
      </w:pPr>
      <w:r w:rsidRPr="00566DB7">
        <w:rPr>
          <w:rFonts w:ascii="Times New Roman" w:hAnsi="Times New Roman"/>
          <w:b/>
          <w:color w:val="00548C"/>
        </w:rPr>
        <w:t xml:space="preserve">See </w:t>
      </w:r>
      <w:hyperlink w:anchor="Important_Reminder" w:history="1">
        <w:r w:rsidRPr="006B1E21">
          <w:rPr>
            <w:rStyle w:val="Hyperlink"/>
            <w:rFonts w:ascii="Times New Roman" w:hAnsi="Times New Roman"/>
          </w:rPr>
          <w:t>Important Reminder</w:t>
        </w:r>
      </w:hyperlink>
      <w:r w:rsidRPr="006B1E21">
        <w:rPr>
          <w:rFonts w:ascii="Times New Roman" w:hAnsi="Times New Roman"/>
          <w:b/>
          <w:color w:val="00548C"/>
        </w:rPr>
        <w:t xml:space="preserve"> at the end of th</w:t>
      </w:r>
      <w:r w:rsidR="00493710" w:rsidRPr="006B1E21">
        <w:rPr>
          <w:rFonts w:ascii="Times New Roman" w:hAnsi="Times New Roman"/>
          <w:b/>
          <w:color w:val="00548C"/>
        </w:rPr>
        <w:t>is</w:t>
      </w:r>
      <w:r w:rsidRPr="006B1E21">
        <w:rPr>
          <w:rFonts w:ascii="Times New Roman" w:hAnsi="Times New Roman"/>
          <w:b/>
          <w:color w:val="00548C"/>
        </w:rPr>
        <w:t xml:space="preserve"> policy for</w:t>
      </w:r>
      <w:r w:rsidR="00493710" w:rsidRPr="006B1E21">
        <w:rPr>
          <w:rFonts w:ascii="Times New Roman" w:hAnsi="Times New Roman"/>
          <w:b/>
          <w:color w:val="00548C"/>
        </w:rPr>
        <w:t xml:space="preserve"> important</w:t>
      </w:r>
      <w:r w:rsidRPr="006B1E21">
        <w:rPr>
          <w:rFonts w:ascii="Times New Roman" w:hAnsi="Times New Roman"/>
          <w:b/>
          <w:color w:val="00548C"/>
        </w:rPr>
        <w:t xml:space="preserve"> regulatory and legal information</w:t>
      </w:r>
      <w:r w:rsidR="00493710" w:rsidRPr="006B1E21">
        <w:rPr>
          <w:rFonts w:ascii="Times New Roman" w:hAnsi="Times New Roman"/>
          <w:b/>
          <w:color w:val="00548C"/>
        </w:rPr>
        <w:t>.</w:t>
      </w:r>
    </w:p>
    <w:p w14:paraId="0F840CD6" w14:textId="77777777" w:rsidR="00134DFD" w:rsidRPr="006B1E21" w:rsidRDefault="00134DFD" w:rsidP="00014F7C">
      <w:pPr>
        <w:pStyle w:val="Heading2"/>
        <w:jc w:val="both"/>
        <w:rPr>
          <w:u w:val="none"/>
        </w:rPr>
      </w:pPr>
    </w:p>
    <w:p w14:paraId="57ED1EAB" w14:textId="77777777" w:rsidR="00455D52" w:rsidRPr="00B42351" w:rsidRDefault="00583376" w:rsidP="00014F7C">
      <w:pPr>
        <w:pStyle w:val="Heading2"/>
        <w:jc w:val="both"/>
        <w:rPr>
          <w:u w:val="none"/>
        </w:rPr>
      </w:pPr>
      <w:r w:rsidRPr="00B42351">
        <w:rPr>
          <w:u w:val="none"/>
        </w:rPr>
        <w:t>Description</w:t>
      </w:r>
    </w:p>
    <w:p w14:paraId="3EBE776A" w14:textId="77777777" w:rsidR="00455D52" w:rsidRPr="00B42351" w:rsidRDefault="00455D52" w:rsidP="00014F7C">
      <w:pPr>
        <w:pStyle w:val="Heading2"/>
        <w:jc w:val="both"/>
        <w:rPr>
          <w:b w:val="0"/>
          <w:u w:val="none"/>
        </w:rPr>
      </w:pPr>
      <w:r w:rsidRPr="00B42351">
        <w:rPr>
          <w:b w:val="0"/>
          <w:u w:val="none"/>
        </w:rPr>
        <w:t>Oxygen therapy is the administration of oxygen at concentrations greater than that in ambient air</w:t>
      </w:r>
    </w:p>
    <w:p w14:paraId="2BF7E990" w14:textId="77777777" w:rsidR="00ED0A0D" w:rsidRPr="006B1E21" w:rsidRDefault="00455D52" w:rsidP="00014F7C">
      <w:pPr>
        <w:pStyle w:val="Heading2"/>
        <w:jc w:val="both"/>
      </w:pPr>
      <w:r w:rsidRPr="00B42351">
        <w:rPr>
          <w:b w:val="0"/>
          <w:u w:val="none"/>
        </w:rPr>
        <w:t xml:space="preserve">(20.9%) with the intent of treating or preventing the symptoms and manifestations of </w:t>
      </w:r>
      <w:r w:rsidR="008D4844">
        <w:rPr>
          <w:b w:val="0"/>
          <w:u w:val="none"/>
        </w:rPr>
        <w:t>h</w:t>
      </w:r>
      <w:r w:rsidR="004E6040">
        <w:rPr>
          <w:b w:val="0"/>
          <w:u w:val="none"/>
        </w:rPr>
        <w:t>ypoxemia</w:t>
      </w:r>
      <w:r w:rsidRPr="00B42351">
        <w:rPr>
          <w:b w:val="0"/>
          <w:u w:val="none"/>
        </w:rPr>
        <w:t>.</w:t>
      </w:r>
      <w:r w:rsidRPr="00B42351">
        <w:rPr>
          <w:b w:val="0"/>
          <w:u w:val="none"/>
          <w:vertAlign w:val="superscript"/>
        </w:rPr>
        <w:t>1</w:t>
      </w:r>
      <w:r w:rsidRPr="00B42351">
        <w:rPr>
          <w:b w:val="0"/>
          <w:u w:val="none"/>
        </w:rPr>
        <w:t xml:space="preserve"> </w:t>
      </w:r>
    </w:p>
    <w:p w14:paraId="60C7FACC" w14:textId="77777777" w:rsidR="005D7B81" w:rsidRDefault="005D7B81" w:rsidP="00014F7C">
      <w:pPr>
        <w:jc w:val="both"/>
      </w:pPr>
    </w:p>
    <w:p w14:paraId="72ED5ADE" w14:textId="77777777" w:rsidR="00E66AD6" w:rsidRPr="00731B0C" w:rsidRDefault="00E66AD6" w:rsidP="00014F7C">
      <w:pPr>
        <w:jc w:val="both"/>
      </w:pPr>
      <w:r w:rsidRPr="005074DA">
        <w:t>Note: If a medically necessary, lesser cost item exists and will suit the member/enrollee's medical needs, a higher cost item will be denied.</w:t>
      </w:r>
    </w:p>
    <w:p w14:paraId="16C3F308" w14:textId="77777777" w:rsidR="00E66AD6" w:rsidRPr="00B42351" w:rsidRDefault="00E66AD6" w:rsidP="00014F7C">
      <w:pPr>
        <w:jc w:val="both"/>
      </w:pPr>
    </w:p>
    <w:p w14:paraId="764F4176" w14:textId="77777777" w:rsidR="00583376" w:rsidRPr="00B42351" w:rsidRDefault="00583376" w:rsidP="00014F7C">
      <w:pPr>
        <w:pStyle w:val="Heading2"/>
        <w:jc w:val="both"/>
        <w:rPr>
          <w:u w:val="none"/>
        </w:rPr>
      </w:pPr>
      <w:r w:rsidRPr="00B42351">
        <w:rPr>
          <w:u w:val="none"/>
        </w:rPr>
        <w:t>Policy/Criteria</w:t>
      </w:r>
      <w:r w:rsidR="003B0ADC">
        <w:rPr>
          <w:u w:val="none"/>
        </w:rPr>
        <w:t xml:space="preserve"> </w:t>
      </w:r>
    </w:p>
    <w:p w14:paraId="598F379D" w14:textId="0DF431DD" w:rsidR="00C96847" w:rsidRPr="00014F7C" w:rsidRDefault="00F74762" w:rsidP="00014F7C">
      <w:pPr>
        <w:numPr>
          <w:ilvl w:val="0"/>
          <w:numId w:val="11"/>
        </w:numPr>
        <w:jc w:val="both"/>
      </w:pPr>
      <w:r w:rsidRPr="00B42351">
        <w:rPr>
          <w:bCs/>
          <w:color w:val="000000"/>
        </w:rPr>
        <w:t>It is the policy of</w:t>
      </w:r>
      <w:r w:rsidR="00E97C17" w:rsidRPr="00B42351">
        <w:rPr>
          <w:bCs/>
          <w:color w:val="000000"/>
        </w:rPr>
        <w:t xml:space="preserve"> </w:t>
      </w:r>
      <w:r w:rsidR="003E4855" w:rsidRPr="00B50522">
        <w:rPr>
          <w:bCs/>
          <w:color w:val="000000"/>
        </w:rPr>
        <w:t>Louisiana Healthcare Connections</w:t>
      </w:r>
      <w:r w:rsidRPr="00B42351">
        <w:rPr>
          <w:bCs/>
          <w:color w:val="000000"/>
        </w:rPr>
        <w:t xml:space="preserve"> </w:t>
      </w:r>
      <w:r w:rsidR="001424C6" w:rsidRPr="00B42351">
        <w:t xml:space="preserve">that </w:t>
      </w:r>
      <w:r w:rsidR="009760CE" w:rsidRPr="00D6405C">
        <w:t>initial approval</w:t>
      </w:r>
      <w:r w:rsidR="009760CE">
        <w:t xml:space="preserve"> of </w:t>
      </w:r>
      <w:r w:rsidR="001424C6" w:rsidRPr="00B42351">
        <w:t>oxygen concentrators</w:t>
      </w:r>
      <w:r w:rsidR="005F0A08">
        <w:t xml:space="preserve"> and oxygen systems</w:t>
      </w:r>
      <w:r w:rsidR="006B4335">
        <w:t xml:space="preserve"> (for indications other than cluster headaches; for stationary oxygen systems for cluster headaches, see section V)</w:t>
      </w:r>
      <w:r w:rsidR="004F41DF">
        <w:t xml:space="preserve"> </w:t>
      </w:r>
      <w:r w:rsidR="00D066A8" w:rsidRPr="00B42351">
        <w:t xml:space="preserve">for </w:t>
      </w:r>
      <w:r w:rsidR="0023174D">
        <w:t>members</w:t>
      </w:r>
      <w:r w:rsidR="0023174D" w:rsidRPr="00D6405C">
        <w:t>/enrollees</w:t>
      </w:r>
      <w:r w:rsidR="00D066A8" w:rsidRPr="00D6405C">
        <w:t xml:space="preserve"> </w:t>
      </w:r>
      <w:r w:rsidR="001424C6" w:rsidRPr="00B42351">
        <w:t>are</w:t>
      </w:r>
      <w:r w:rsidR="00C96847" w:rsidRPr="00B42351">
        <w:t xml:space="preserve"> </w:t>
      </w:r>
      <w:r w:rsidR="00C96847" w:rsidRPr="00B42351">
        <w:rPr>
          <w:b/>
        </w:rPr>
        <w:t xml:space="preserve">medically </w:t>
      </w:r>
      <w:r w:rsidR="00C96847" w:rsidRPr="00014F7C">
        <w:rPr>
          <w:b/>
        </w:rPr>
        <w:t>necessary</w:t>
      </w:r>
      <w:r w:rsidR="00C96847" w:rsidRPr="00014F7C">
        <w:t xml:space="preserve"> </w:t>
      </w:r>
      <w:r w:rsidR="009B0B67" w:rsidRPr="00014F7C">
        <w:t xml:space="preserve">when </w:t>
      </w:r>
      <w:r w:rsidR="003766B4" w:rsidRPr="00014F7C">
        <w:t xml:space="preserve">meeting </w:t>
      </w:r>
      <w:r w:rsidR="009B0B67" w:rsidRPr="00014F7C">
        <w:t xml:space="preserve">all of the </w:t>
      </w:r>
      <w:r w:rsidR="009D5928" w:rsidRPr="00014F7C">
        <w:t>following</w:t>
      </w:r>
      <w:r w:rsidR="00080AE0" w:rsidRPr="00014F7C">
        <w:rPr>
          <w:vertAlign w:val="superscript"/>
        </w:rPr>
        <w:t>8</w:t>
      </w:r>
      <w:r w:rsidR="00C96847" w:rsidRPr="00014F7C">
        <w:t>:</w:t>
      </w:r>
    </w:p>
    <w:p w14:paraId="665563AA" w14:textId="45CFDB30" w:rsidR="00E34FAD" w:rsidRPr="00014F7C" w:rsidRDefault="00A6077B" w:rsidP="00014F7C">
      <w:pPr>
        <w:pStyle w:val="ListParagraph"/>
        <w:numPr>
          <w:ilvl w:val="0"/>
          <w:numId w:val="35"/>
        </w:numPr>
        <w:jc w:val="both"/>
      </w:pPr>
      <w:r w:rsidRPr="00014F7C">
        <w:t>The attending physician, or a consultant physician who has personally examined the beneficiary at the request of the attending physician, must have seen the beneficiary within 30 – 60 days of prescribing oxygen therapy.</w:t>
      </w:r>
      <w:r w:rsidR="009B0B67" w:rsidRPr="00014F7C">
        <w:t>;</w:t>
      </w:r>
      <w:r w:rsidR="006C61B7" w:rsidRPr="00014F7C">
        <w:t xml:space="preserve"> </w:t>
      </w:r>
    </w:p>
    <w:p w14:paraId="74DD6498" w14:textId="77777777" w:rsidR="00FC3AAA" w:rsidRPr="00014F7C" w:rsidRDefault="00FC3AAA" w:rsidP="00014F7C">
      <w:pPr>
        <w:pStyle w:val="ListParagraph"/>
        <w:numPr>
          <w:ilvl w:val="0"/>
          <w:numId w:val="35"/>
        </w:numPr>
        <w:jc w:val="both"/>
      </w:pPr>
      <w:r w:rsidRPr="00014F7C">
        <w:t xml:space="preserve">A prescription which is signed and dated by the treating physician and includes: </w:t>
      </w:r>
    </w:p>
    <w:p w14:paraId="6C691460" w14:textId="77777777" w:rsidR="00FC3AAA" w:rsidRPr="00014F7C" w:rsidRDefault="00FC3AAA" w:rsidP="00014F7C">
      <w:pPr>
        <w:pStyle w:val="ListParagraph"/>
        <w:numPr>
          <w:ilvl w:val="1"/>
          <w:numId w:val="35"/>
        </w:numPr>
        <w:jc w:val="both"/>
      </w:pPr>
      <w:r w:rsidRPr="00014F7C">
        <w:t>Oxygen flow rate;</w:t>
      </w:r>
    </w:p>
    <w:p w14:paraId="163F9C24" w14:textId="77777777" w:rsidR="00FC3AAA" w:rsidRDefault="00FC3AAA" w:rsidP="00014F7C">
      <w:pPr>
        <w:pStyle w:val="ListParagraph"/>
        <w:numPr>
          <w:ilvl w:val="1"/>
          <w:numId w:val="35"/>
        </w:numPr>
        <w:jc w:val="both"/>
      </w:pPr>
      <w:r>
        <w:t>Frequency and duration of use;</w:t>
      </w:r>
    </w:p>
    <w:p w14:paraId="2155CEE5" w14:textId="77777777" w:rsidR="007E3960" w:rsidRDefault="00FC3AAA" w:rsidP="00014F7C">
      <w:pPr>
        <w:pStyle w:val="ListParagraph"/>
        <w:numPr>
          <w:ilvl w:val="1"/>
          <w:numId w:val="35"/>
        </w:numPr>
        <w:jc w:val="both"/>
      </w:pPr>
      <w:r>
        <w:t xml:space="preserve">Estimate of the period of need; and </w:t>
      </w:r>
    </w:p>
    <w:p w14:paraId="73EEFB68" w14:textId="77777777" w:rsidR="00365CAC" w:rsidRPr="00D1056F" w:rsidRDefault="00FC3AAA" w:rsidP="00014F7C">
      <w:pPr>
        <w:pStyle w:val="ListParagraph"/>
        <w:numPr>
          <w:ilvl w:val="1"/>
          <w:numId w:val="35"/>
        </w:numPr>
        <w:jc w:val="both"/>
      </w:pPr>
      <w:r>
        <w:t>Results of a current blood gas laboratory report done at rest and at room air (performed no more than 30 days prior to the prescription) from an appropriate facility giving the arterial blood gases (ABGs) and arterial saturation. However, oxygen saturation may be determined by pulse oximetry when ABGs cannot be taken.</w:t>
      </w:r>
    </w:p>
    <w:p w14:paraId="322FCB47" w14:textId="77777777" w:rsidR="00E34FAD" w:rsidRPr="00D1056F" w:rsidRDefault="009B0B67" w:rsidP="00014F7C">
      <w:pPr>
        <w:pStyle w:val="ListParagraph"/>
        <w:numPr>
          <w:ilvl w:val="0"/>
          <w:numId w:val="35"/>
        </w:numPr>
        <w:jc w:val="both"/>
      </w:pPr>
      <w:r w:rsidRPr="00D1056F">
        <w:t>The</w:t>
      </w:r>
      <w:r w:rsidR="00E34FAD" w:rsidRPr="00D1056F">
        <w:t xml:space="preserve"> blood gas study</w:t>
      </w:r>
      <w:r w:rsidR="00514154">
        <w:t xml:space="preserve"> or pulse oximetry measurement</w:t>
      </w:r>
      <w:r w:rsidR="00E34FAD" w:rsidRPr="00D1056F">
        <w:t xml:space="preserve"> meet</w:t>
      </w:r>
      <w:r w:rsidRPr="00D1056F">
        <w:t>s one of the following:</w:t>
      </w:r>
      <w:r w:rsidR="00451B69" w:rsidRPr="00D1056F">
        <w:t xml:space="preserve"> </w:t>
      </w:r>
    </w:p>
    <w:p w14:paraId="6E963E6E" w14:textId="17224D9A" w:rsidR="009B0B67" w:rsidRPr="005E337C" w:rsidRDefault="00FE274C" w:rsidP="00014F7C">
      <w:pPr>
        <w:pStyle w:val="ListParagraph"/>
        <w:numPr>
          <w:ilvl w:val="0"/>
          <w:numId w:val="36"/>
        </w:numPr>
        <w:jc w:val="both"/>
      </w:pPr>
      <w:r w:rsidRPr="00D1056F">
        <w:t>Member/enrollee qualifies f</w:t>
      </w:r>
      <w:r w:rsidR="003B068C" w:rsidRPr="00D1056F">
        <w:t>or G</w:t>
      </w:r>
      <w:r w:rsidR="009B0B67" w:rsidRPr="00D1056F">
        <w:t>roup I</w:t>
      </w:r>
      <w:r w:rsidRPr="00D1056F">
        <w:t xml:space="preserve"> by meeting </w:t>
      </w:r>
      <w:r w:rsidR="009B0B67" w:rsidRPr="00D1056F">
        <w:t>any of the following</w:t>
      </w:r>
      <w:r w:rsidR="008F6042" w:rsidRPr="00D1056F">
        <w:rPr>
          <w:vertAlign w:val="superscript"/>
        </w:rPr>
        <w:t>3</w:t>
      </w:r>
      <w:r w:rsidR="008F6042" w:rsidRPr="005E337C">
        <w:rPr>
          <w:vertAlign w:val="superscript"/>
        </w:rPr>
        <w:t>,</w:t>
      </w:r>
      <w:r w:rsidR="00026D54" w:rsidRPr="005E337C">
        <w:rPr>
          <w:vertAlign w:val="superscript"/>
        </w:rPr>
        <w:t>8</w:t>
      </w:r>
      <w:r w:rsidR="009B0B67" w:rsidRPr="005E337C">
        <w:t>:</w:t>
      </w:r>
    </w:p>
    <w:p w14:paraId="14E5E16C" w14:textId="39535F8A" w:rsidR="009B0B67" w:rsidRPr="00D1056F" w:rsidRDefault="009B0B67" w:rsidP="00014F7C">
      <w:pPr>
        <w:pStyle w:val="ListParagraph"/>
        <w:numPr>
          <w:ilvl w:val="0"/>
          <w:numId w:val="38"/>
        </w:numPr>
        <w:ind w:left="1440"/>
        <w:jc w:val="both"/>
      </w:pPr>
      <w:r w:rsidRPr="00D1056F">
        <w:t xml:space="preserve">An arterial </w:t>
      </w:r>
      <w:r w:rsidR="003A0A90" w:rsidRPr="00D1056F">
        <w:t>PO</w:t>
      </w:r>
      <w:r w:rsidR="003A0A90" w:rsidRPr="006B1E21">
        <w:rPr>
          <w:vertAlign w:val="subscript"/>
        </w:rPr>
        <w:t>2</w:t>
      </w:r>
      <w:r w:rsidRPr="00D1056F">
        <w:t xml:space="preserve"> at or below 55 mm Hg</w:t>
      </w:r>
      <w:r w:rsidR="00A46B53" w:rsidRPr="00D1056F">
        <w:t>,</w:t>
      </w:r>
      <w:r w:rsidRPr="00D1056F">
        <w:t xml:space="preserve"> or an </w:t>
      </w:r>
      <w:r w:rsidRPr="00EC208C">
        <w:t>arterial oxygen saturation</w:t>
      </w:r>
      <w:r w:rsidR="00514154">
        <w:t xml:space="preserve"> (or pulse oximetry)</w:t>
      </w:r>
      <w:r w:rsidRPr="00D1056F">
        <w:t xml:space="preserve"> at or below 88 percent taken at rest (awake)</w:t>
      </w:r>
      <w:r w:rsidR="00611094">
        <w:t>,</w:t>
      </w:r>
      <w:r w:rsidR="006E1F3C" w:rsidRPr="00D1056F">
        <w:t xml:space="preserve"> breathing room air</w:t>
      </w:r>
      <w:r w:rsidR="003B068C" w:rsidRPr="00D1056F">
        <w:t>;</w:t>
      </w:r>
    </w:p>
    <w:p w14:paraId="5205AF98" w14:textId="10ACE813" w:rsidR="009B0B67" w:rsidRPr="005E337C" w:rsidRDefault="009B0B67" w:rsidP="00014F7C">
      <w:pPr>
        <w:pStyle w:val="ListParagraph"/>
        <w:numPr>
          <w:ilvl w:val="0"/>
          <w:numId w:val="38"/>
        </w:numPr>
        <w:ind w:left="1440"/>
        <w:jc w:val="both"/>
      </w:pPr>
      <w:r w:rsidRPr="00D1056F">
        <w:t xml:space="preserve">An arterial </w:t>
      </w:r>
      <w:r w:rsidR="003A0A90" w:rsidRPr="00D1056F">
        <w:t>PO</w:t>
      </w:r>
      <w:r w:rsidR="003A0A90" w:rsidRPr="006B1E21">
        <w:rPr>
          <w:vertAlign w:val="subscript"/>
        </w:rPr>
        <w:t>2</w:t>
      </w:r>
      <w:r w:rsidRPr="00D1056F">
        <w:t xml:space="preserve"> at or below 55 mm Hg, or an </w:t>
      </w:r>
      <w:r w:rsidRPr="00EC208C">
        <w:t>arterial oxygen saturation</w:t>
      </w:r>
      <w:r w:rsidR="0066186F">
        <w:t xml:space="preserve"> (or pulse oximetry)</w:t>
      </w:r>
      <w:r w:rsidR="0066186F" w:rsidRPr="00D1056F">
        <w:t xml:space="preserve"> </w:t>
      </w:r>
      <w:r w:rsidRPr="00D1056F">
        <w:t>at or below 88 percent, taken</w:t>
      </w:r>
      <w:r w:rsidRPr="005E337C">
        <w:t xml:space="preserve"> during sleep</w:t>
      </w:r>
      <w:r w:rsidR="006977B7">
        <w:t>,</w:t>
      </w:r>
      <w:r w:rsidRPr="005E337C">
        <w:t xml:space="preserve"> for a beneficiary who demonstrates an arterial </w:t>
      </w:r>
      <w:r w:rsidR="003A0A90" w:rsidRPr="005E337C">
        <w:t>PO</w:t>
      </w:r>
      <w:r w:rsidR="003A0A90" w:rsidRPr="006B1E21">
        <w:rPr>
          <w:vertAlign w:val="subscript"/>
        </w:rPr>
        <w:t>2</w:t>
      </w:r>
      <w:r w:rsidRPr="005E337C">
        <w:t xml:space="preserve"> at or above 56 mm Hg or an arterial oxygen saturation </w:t>
      </w:r>
      <w:r w:rsidR="0066186F">
        <w:t>(or pulse oximetry)</w:t>
      </w:r>
      <w:r w:rsidR="0066186F" w:rsidRPr="00D1056F">
        <w:t xml:space="preserve"> </w:t>
      </w:r>
      <w:r w:rsidRPr="005E337C">
        <w:t xml:space="preserve">at or above </w:t>
      </w:r>
      <w:r w:rsidRPr="00566DB7">
        <w:t>89 percent while awak</w:t>
      </w:r>
      <w:r w:rsidR="003B068C" w:rsidRPr="00566DB7">
        <w:t>e;</w:t>
      </w:r>
    </w:p>
    <w:p w14:paraId="3F2E3F5F" w14:textId="434F7C11" w:rsidR="009B0B67" w:rsidRPr="00D1056F" w:rsidRDefault="009B0B67" w:rsidP="00014F7C">
      <w:pPr>
        <w:pStyle w:val="ListParagraph"/>
        <w:numPr>
          <w:ilvl w:val="0"/>
          <w:numId w:val="38"/>
        </w:numPr>
        <w:ind w:left="1440"/>
        <w:jc w:val="both"/>
      </w:pPr>
      <w:r w:rsidRPr="009D02E3">
        <w:t xml:space="preserve">A decrease in arterial </w:t>
      </w:r>
      <w:r w:rsidR="003A0A90" w:rsidRPr="009D02E3">
        <w:t>PO</w:t>
      </w:r>
      <w:r w:rsidR="003A0A90" w:rsidRPr="006B1E21">
        <w:rPr>
          <w:vertAlign w:val="subscript"/>
        </w:rPr>
        <w:t>2</w:t>
      </w:r>
      <w:r w:rsidRPr="009D02E3">
        <w:t xml:space="preserve"> more than 10 mm Hg, or a decrease in </w:t>
      </w:r>
      <w:r w:rsidRPr="00EC208C">
        <w:t>arterial oxygen saturation</w:t>
      </w:r>
      <w:r w:rsidR="0066186F">
        <w:t xml:space="preserve"> (or pulse oximetry)</w:t>
      </w:r>
      <w:r w:rsidRPr="00D1056F">
        <w:t xml:space="preserve"> more than </w:t>
      </w:r>
      <w:r w:rsidR="00153835" w:rsidRPr="00D1056F">
        <w:t>five</w:t>
      </w:r>
      <w:r w:rsidRPr="00D1056F">
        <w:t xml:space="preserve"> percent from baseline saturation, taken during sleep</w:t>
      </w:r>
      <w:r w:rsidR="00065F89">
        <w:t xml:space="preserve"> and</w:t>
      </w:r>
      <w:r w:rsidRPr="00D1056F">
        <w:t xml:space="preserve"> associated with symptoms (e.g., impairment of cognitive processes and nocturnal restlessness or insomnia) or signs (e.g., cor pulmonale, "P" pulmonale on EKG, documented pulmonary hypertension</w:t>
      </w:r>
      <w:r w:rsidR="009A52CD" w:rsidRPr="00D1056F">
        <w:t>,</w:t>
      </w:r>
      <w:r w:rsidRPr="00D1056F">
        <w:t xml:space="preserve"> and erythrocytosis) reasonably attributable to hypoxemia</w:t>
      </w:r>
      <w:r w:rsidR="003B068C" w:rsidRPr="00D1056F">
        <w:t>;</w:t>
      </w:r>
      <w:r w:rsidR="00465E63" w:rsidRPr="00D1056F">
        <w:t xml:space="preserve"> </w:t>
      </w:r>
    </w:p>
    <w:p w14:paraId="6C420197" w14:textId="77777777" w:rsidR="009B0B67" w:rsidRPr="00241077" w:rsidRDefault="009B0B67" w:rsidP="00014F7C">
      <w:pPr>
        <w:pStyle w:val="ListParagraph"/>
        <w:numPr>
          <w:ilvl w:val="0"/>
          <w:numId w:val="38"/>
        </w:numPr>
        <w:ind w:left="1440"/>
        <w:jc w:val="both"/>
      </w:pPr>
      <w:r w:rsidRPr="00D1056F">
        <w:t xml:space="preserve">An arterial </w:t>
      </w:r>
      <w:r w:rsidR="003A0A90" w:rsidRPr="00D1056F">
        <w:t>PO</w:t>
      </w:r>
      <w:r w:rsidR="003A0A90" w:rsidRPr="006B1E21">
        <w:rPr>
          <w:vertAlign w:val="subscript"/>
        </w:rPr>
        <w:t>2</w:t>
      </w:r>
      <w:r w:rsidRPr="00D1056F">
        <w:t xml:space="preserve"> at or below 55 mm Hg or an </w:t>
      </w:r>
      <w:r w:rsidRPr="00EC208C">
        <w:t>arterial oxygen saturation</w:t>
      </w:r>
      <w:r w:rsidR="0066186F">
        <w:t xml:space="preserve"> (or pulse oximetry)</w:t>
      </w:r>
      <w:r w:rsidRPr="00D1056F">
        <w:t xml:space="preserve"> at or below 88 percent, taken during exercise for a beneficiary who demonstrates an arterial </w:t>
      </w:r>
      <w:r w:rsidR="003A0A90" w:rsidRPr="00D1056F">
        <w:t>PO</w:t>
      </w:r>
      <w:r w:rsidR="003A0A90" w:rsidRPr="006B1E21">
        <w:rPr>
          <w:vertAlign w:val="subscript"/>
        </w:rPr>
        <w:t>2</w:t>
      </w:r>
      <w:r w:rsidRPr="00D1056F">
        <w:t xml:space="preserve"> at or above 56 mm Hg or an </w:t>
      </w:r>
      <w:r w:rsidRPr="00EC208C">
        <w:t>arterial oxygen saturation</w:t>
      </w:r>
      <w:r w:rsidRPr="005E337C">
        <w:t xml:space="preserve"> </w:t>
      </w:r>
      <w:r w:rsidR="0066186F">
        <w:lastRenderedPageBreak/>
        <w:t>(or pulse oximetry)</w:t>
      </w:r>
      <w:r w:rsidR="0066186F" w:rsidRPr="00D1056F">
        <w:t xml:space="preserve"> </w:t>
      </w:r>
      <w:r w:rsidRPr="005E337C">
        <w:t xml:space="preserve">at or above </w:t>
      </w:r>
      <w:r w:rsidRPr="00566DB7">
        <w:t>89 percent during the day while at rest.</w:t>
      </w:r>
      <w:r w:rsidRPr="005E337C">
        <w:t xml:space="preserve"> In this case, oxygen is provided for during exercise if it is documented that the use of oxygen improves the hypoxemia that </w:t>
      </w:r>
      <w:r w:rsidRPr="00241077">
        <w:t>was demonstrated during exercise when the beneficiary was breathing room air</w:t>
      </w:r>
      <w:r w:rsidR="003B068C" w:rsidRPr="00241077">
        <w:t>;</w:t>
      </w:r>
      <w:r w:rsidR="00465E63" w:rsidRPr="00241077">
        <w:t xml:space="preserve"> </w:t>
      </w:r>
    </w:p>
    <w:p w14:paraId="3B43F524" w14:textId="443F5AD1" w:rsidR="009B0B67" w:rsidRPr="00241077" w:rsidRDefault="00FE274C" w:rsidP="00014F7C">
      <w:pPr>
        <w:pStyle w:val="ListParagraph"/>
        <w:numPr>
          <w:ilvl w:val="0"/>
          <w:numId w:val="36"/>
        </w:numPr>
        <w:jc w:val="both"/>
      </w:pPr>
      <w:r w:rsidRPr="00241077">
        <w:t>Member/enrollee qualifies f</w:t>
      </w:r>
      <w:r w:rsidR="003B068C" w:rsidRPr="00241077">
        <w:t>or Group II</w:t>
      </w:r>
      <w:r w:rsidRPr="00241077">
        <w:t xml:space="preserve"> by meeting </w:t>
      </w:r>
      <w:r w:rsidR="003B068C" w:rsidRPr="00241077">
        <w:t>both of the following</w:t>
      </w:r>
      <w:r w:rsidR="00791E4F" w:rsidRPr="00241077">
        <w:rPr>
          <w:vertAlign w:val="superscript"/>
        </w:rPr>
        <w:t>1,</w:t>
      </w:r>
      <w:r w:rsidR="00026D54" w:rsidRPr="00241077">
        <w:rPr>
          <w:vertAlign w:val="superscript"/>
        </w:rPr>
        <w:t>8</w:t>
      </w:r>
      <w:r w:rsidR="003B068C" w:rsidRPr="00241077">
        <w:t>:</w:t>
      </w:r>
    </w:p>
    <w:p w14:paraId="39204683" w14:textId="688363D7" w:rsidR="009B0B67" w:rsidRPr="00241077" w:rsidRDefault="009B0B67" w:rsidP="00014F7C">
      <w:pPr>
        <w:pStyle w:val="ListParagraph"/>
        <w:numPr>
          <w:ilvl w:val="0"/>
          <w:numId w:val="37"/>
        </w:numPr>
        <w:jc w:val="both"/>
      </w:pPr>
      <w:r w:rsidRPr="00241077">
        <w:t>An arterial PO</w:t>
      </w:r>
      <w:r w:rsidRPr="006B1E21">
        <w:rPr>
          <w:vertAlign w:val="subscript"/>
        </w:rPr>
        <w:t>2</w:t>
      </w:r>
      <w:r w:rsidRPr="00241077">
        <w:t xml:space="preserve"> of 56</w:t>
      </w:r>
      <w:r w:rsidR="00153835" w:rsidRPr="00241077">
        <w:t xml:space="preserve"> through</w:t>
      </w:r>
      <w:r w:rsidR="006972E7" w:rsidRPr="00241077">
        <w:t xml:space="preserve"> </w:t>
      </w:r>
      <w:r w:rsidRPr="00241077">
        <w:t xml:space="preserve">59 mm Hg or an </w:t>
      </w:r>
      <w:r w:rsidRPr="00EC208C">
        <w:t>arterial blood oxygen saturation</w:t>
      </w:r>
      <w:r w:rsidRPr="00241077">
        <w:t xml:space="preserve"> of 89 percent </w:t>
      </w:r>
      <w:r w:rsidR="002C7FDB" w:rsidRPr="00241077">
        <w:t xml:space="preserve">or less </w:t>
      </w:r>
      <w:r w:rsidRPr="00241077">
        <w:t>at rest (awake), during sleep, or during exercise (as described under Group I criteria)</w:t>
      </w:r>
      <w:r w:rsidR="003B068C" w:rsidRPr="00241077">
        <w:t>;</w:t>
      </w:r>
    </w:p>
    <w:p w14:paraId="263DE0AA" w14:textId="77777777" w:rsidR="009B0B67" w:rsidRPr="00241077" w:rsidRDefault="009B0B67" w:rsidP="00014F7C">
      <w:pPr>
        <w:pStyle w:val="ListParagraph"/>
        <w:numPr>
          <w:ilvl w:val="0"/>
          <w:numId w:val="37"/>
        </w:numPr>
        <w:jc w:val="both"/>
      </w:pPr>
      <w:r w:rsidRPr="00241077">
        <w:t xml:space="preserve">Any of the following: </w:t>
      </w:r>
    </w:p>
    <w:p w14:paraId="2EE0A1C4" w14:textId="77777777" w:rsidR="009B0B67" w:rsidRPr="00F04915" w:rsidRDefault="009B0B67" w:rsidP="00014F7C">
      <w:pPr>
        <w:pStyle w:val="ListParagraph"/>
        <w:numPr>
          <w:ilvl w:val="0"/>
          <w:numId w:val="39"/>
        </w:numPr>
        <w:jc w:val="both"/>
      </w:pPr>
      <w:r w:rsidRPr="00F04915">
        <w:t>Dependent edema suggesting congestive heart failure</w:t>
      </w:r>
      <w:r w:rsidR="003B068C" w:rsidRPr="00F04915">
        <w:t>;</w:t>
      </w:r>
    </w:p>
    <w:p w14:paraId="7F8A1305" w14:textId="139A0B1F" w:rsidR="0081600C" w:rsidRPr="00014F7C" w:rsidRDefault="009B0B67" w:rsidP="00014F7C">
      <w:pPr>
        <w:pStyle w:val="ListParagraph"/>
        <w:numPr>
          <w:ilvl w:val="0"/>
          <w:numId w:val="39"/>
        </w:numPr>
        <w:jc w:val="both"/>
      </w:pPr>
      <w:r w:rsidRPr="00014F7C">
        <w:t>Pulmonary hypertension or cor pulmonale, determined by measurement of pulmonary artery pressure, gated blood pool scan, echocardiogram, or "P" pulmonale on EKG (P wave greater than 3 mm in standard leads II, III, or AVF)</w:t>
      </w:r>
      <w:r w:rsidR="003B068C" w:rsidRPr="00014F7C">
        <w:t>;</w:t>
      </w:r>
    </w:p>
    <w:p w14:paraId="517BABC0" w14:textId="26478E35" w:rsidR="00FE73E7" w:rsidRPr="00014F7C" w:rsidRDefault="009B0B67" w:rsidP="00014F7C">
      <w:pPr>
        <w:pStyle w:val="ListParagraph"/>
        <w:numPr>
          <w:ilvl w:val="0"/>
          <w:numId w:val="39"/>
        </w:numPr>
        <w:jc w:val="both"/>
      </w:pPr>
      <w:r w:rsidRPr="00014F7C">
        <w:t>Erythrocythemia with a hematocrit greater than 56 percent</w:t>
      </w:r>
    </w:p>
    <w:p w14:paraId="46F5CCFB" w14:textId="07D30E81" w:rsidR="00B54055" w:rsidRPr="00014F7C" w:rsidRDefault="00B54055" w:rsidP="00014F7C">
      <w:pPr>
        <w:pStyle w:val="ListParagraph"/>
        <w:numPr>
          <w:ilvl w:val="0"/>
          <w:numId w:val="35"/>
        </w:numPr>
        <w:jc w:val="both"/>
      </w:pPr>
      <w:r w:rsidRPr="00014F7C">
        <w:t xml:space="preserve">If the request is for a portable oxygen system, </w:t>
      </w:r>
      <w:r w:rsidR="00756AC4" w:rsidRPr="00014F7C">
        <w:t xml:space="preserve">the </w:t>
      </w:r>
      <w:r w:rsidRPr="00014F7C">
        <w:t>following</w:t>
      </w:r>
      <w:r w:rsidR="00C14E49" w:rsidRPr="00014F7C">
        <w:rPr>
          <w:vertAlign w:val="superscript"/>
        </w:rPr>
        <w:t>8</w:t>
      </w:r>
      <w:r w:rsidR="00756AC4" w:rsidRPr="00014F7C">
        <w:t xml:space="preserve"> must be met:</w:t>
      </w:r>
    </w:p>
    <w:p w14:paraId="5AFCB1FE" w14:textId="33126FC8" w:rsidR="007C6D8E" w:rsidRPr="00014F7C" w:rsidRDefault="00756AC4" w:rsidP="00014F7C">
      <w:pPr>
        <w:pStyle w:val="ListParagraph"/>
        <w:numPr>
          <w:ilvl w:val="1"/>
          <w:numId w:val="53"/>
        </w:numPr>
        <w:ind w:left="1080"/>
        <w:jc w:val="both"/>
      </w:pPr>
      <w:r w:rsidRPr="00014F7C">
        <w:t xml:space="preserve">Member/enrollees </w:t>
      </w:r>
      <w:r w:rsidR="00010017" w:rsidRPr="00014F7C">
        <w:t xml:space="preserve">need </w:t>
      </w:r>
      <w:r w:rsidRPr="00014F7C">
        <w:t>continuous oxygen and require portable units while in route to a doctor’s office, hospital, or medically necessary appointment.</w:t>
      </w:r>
    </w:p>
    <w:p w14:paraId="2B4532C5" w14:textId="77777777" w:rsidR="00600CEC" w:rsidRPr="00014F7C" w:rsidRDefault="00023E7D" w:rsidP="00014F7C">
      <w:pPr>
        <w:pStyle w:val="ListParagraph"/>
        <w:numPr>
          <w:ilvl w:val="1"/>
          <w:numId w:val="53"/>
        </w:numPr>
        <w:ind w:left="1080"/>
        <w:jc w:val="both"/>
      </w:pPr>
      <w:r w:rsidRPr="00014F7C">
        <w:t>Documentation of medical necessity as well as the anticipated number of visits per month needed must be submitted by the members/enrollees treating physician with the prior authorization request.</w:t>
      </w:r>
    </w:p>
    <w:p w14:paraId="1C8C3DFD" w14:textId="6F45792C" w:rsidR="00737215" w:rsidRPr="00014F7C" w:rsidRDefault="00010017" w:rsidP="00014F7C">
      <w:pPr>
        <w:ind w:firstLine="360"/>
        <w:jc w:val="both"/>
      </w:pPr>
      <w:r w:rsidRPr="00014F7C">
        <w:t>E</w:t>
      </w:r>
      <w:r w:rsidR="00600CEC" w:rsidRPr="00014F7C">
        <w:t xml:space="preserve">. </w:t>
      </w:r>
      <w:r w:rsidR="007C6D8E" w:rsidRPr="00014F7C">
        <w:t xml:space="preserve"> </w:t>
      </w:r>
      <w:r w:rsidR="008F4513" w:rsidRPr="00014F7C">
        <w:t>If the request is for a portable oxygen system, The</w:t>
      </w:r>
      <w:r w:rsidR="00023E7D" w:rsidRPr="00014F7C">
        <w:t xml:space="preserve"> </w:t>
      </w:r>
      <w:r w:rsidR="008F4513" w:rsidRPr="00014F7C">
        <w:t>p</w:t>
      </w:r>
      <w:r w:rsidR="00023E7D" w:rsidRPr="00014F7C">
        <w:t>ortable systems will not be approved to be used on a standby basis only. Units will be authorized per month based on review of submitted medical justification. An example of justification for refills includes, but is not limited to, multiple weekly visits for radiation or chemotherapy.</w:t>
      </w:r>
    </w:p>
    <w:p w14:paraId="556A12F0" w14:textId="6FC62489" w:rsidR="009760CE" w:rsidRPr="00014F7C" w:rsidRDefault="009760CE" w:rsidP="00014F7C">
      <w:pPr>
        <w:jc w:val="both"/>
      </w:pPr>
    </w:p>
    <w:p w14:paraId="61657540" w14:textId="559687F7" w:rsidR="009760CE" w:rsidRPr="00014F7C" w:rsidRDefault="009760CE" w:rsidP="00014F7C">
      <w:pPr>
        <w:numPr>
          <w:ilvl w:val="0"/>
          <w:numId w:val="11"/>
        </w:numPr>
        <w:jc w:val="both"/>
      </w:pPr>
      <w:r w:rsidRPr="00014F7C">
        <w:rPr>
          <w:bCs/>
          <w:color w:val="000000"/>
        </w:rPr>
        <w:t xml:space="preserve">It is the policy of </w:t>
      </w:r>
      <w:r w:rsidR="003E4855" w:rsidRPr="00014F7C">
        <w:rPr>
          <w:bCs/>
          <w:color w:val="000000"/>
        </w:rPr>
        <w:t>Louisiana Healthcare Connections</w:t>
      </w:r>
      <w:r w:rsidRPr="00014F7C">
        <w:rPr>
          <w:bCs/>
          <w:color w:val="000000"/>
        </w:rPr>
        <w:t xml:space="preserve"> </w:t>
      </w:r>
      <w:r w:rsidRPr="00014F7C">
        <w:t>that reauthorization of oxygen concentrators</w:t>
      </w:r>
      <w:r w:rsidR="00B76DB4" w:rsidRPr="00014F7C">
        <w:t xml:space="preserve"> </w:t>
      </w:r>
      <w:r w:rsidR="005F0A08" w:rsidRPr="00014F7C">
        <w:t xml:space="preserve">and oxygen systems </w:t>
      </w:r>
      <w:r w:rsidR="00B76DB4" w:rsidRPr="00014F7C">
        <w:t xml:space="preserve">for </w:t>
      </w:r>
      <w:r w:rsidR="0023174D" w:rsidRPr="00014F7C">
        <w:t>member</w:t>
      </w:r>
      <w:r w:rsidR="008D5AB0" w:rsidRPr="00014F7C">
        <w:t>s</w:t>
      </w:r>
      <w:r w:rsidR="00FF6B78" w:rsidRPr="00014F7C">
        <w:t>/enrollees</w:t>
      </w:r>
      <w:r w:rsidR="00B76DB4" w:rsidRPr="00014F7C">
        <w:t xml:space="preserve"> ≥ </w:t>
      </w:r>
      <w:r w:rsidR="000C2DB6" w:rsidRPr="00014F7C">
        <w:t>21</w:t>
      </w:r>
      <w:r w:rsidRPr="00014F7C">
        <w:t xml:space="preserve"> </w:t>
      </w:r>
      <w:r w:rsidR="000D0560" w:rsidRPr="00014F7C">
        <w:t xml:space="preserve">years of age </w:t>
      </w:r>
      <w:r w:rsidRPr="00014F7C">
        <w:t xml:space="preserve">are </w:t>
      </w:r>
      <w:r w:rsidRPr="00014F7C">
        <w:rPr>
          <w:b/>
        </w:rPr>
        <w:t>medically necessary</w:t>
      </w:r>
      <w:r w:rsidRPr="00014F7C">
        <w:t xml:space="preserve"> when meeting the following</w:t>
      </w:r>
      <w:r w:rsidR="00545B95" w:rsidRPr="00014F7C">
        <w:rPr>
          <w:vertAlign w:val="superscript"/>
        </w:rPr>
        <w:t>1,</w:t>
      </w:r>
      <w:r w:rsidR="00012789" w:rsidRPr="00014F7C">
        <w:rPr>
          <w:vertAlign w:val="superscript"/>
        </w:rPr>
        <w:t>7,</w:t>
      </w:r>
      <w:r w:rsidR="00545B95" w:rsidRPr="00014F7C">
        <w:rPr>
          <w:vertAlign w:val="superscript"/>
        </w:rPr>
        <w:t>9</w:t>
      </w:r>
      <w:r w:rsidRPr="00014F7C">
        <w:t>:</w:t>
      </w:r>
    </w:p>
    <w:p w14:paraId="0C4FFFF4" w14:textId="77777777" w:rsidR="005F40C2" w:rsidRPr="00014F7C" w:rsidRDefault="009760CE" w:rsidP="00014F7C">
      <w:pPr>
        <w:pStyle w:val="ListParagraph"/>
        <w:numPr>
          <w:ilvl w:val="0"/>
          <w:numId w:val="29"/>
        </w:numPr>
        <w:tabs>
          <w:tab w:val="left" w:pos="1530"/>
        </w:tabs>
        <w:jc w:val="both"/>
      </w:pPr>
      <w:r w:rsidRPr="00014F7C">
        <w:t>Evaluation by the treating physician within 90 days prior to the date of recertification</w:t>
      </w:r>
      <w:r w:rsidR="005F40C2" w:rsidRPr="00014F7C">
        <w:t>, and one of the following:</w:t>
      </w:r>
    </w:p>
    <w:p w14:paraId="741AF619" w14:textId="77777777" w:rsidR="005F40C2" w:rsidRPr="00014F7C" w:rsidRDefault="005F40C2" w:rsidP="00014F7C">
      <w:pPr>
        <w:pStyle w:val="ListParagraph"/>
        <w:numPr>
          <w:ilvl w:val="0"/>
          <w:numId w:val="43"/>
        </w:numPr>
        <w:jc w:val="both"/>
      </w:pPr>
      <w:r w:rsidRPr="00014F7C">
        <w:t>Chronic hypoxemia is not expected to improve or is expected to worsen, as documented in an explanatory letter of medical necessity (LOMN);</w:t>
      </w:r>
    </w:p>
    <w:p w14:paraId="496021B4" w14:textId="77777777" w:rsidR="002C6AE3" w:rsidRPr="00014F7C" w:rsidRDefault="002C6AE3" w:rsidP="00014F7C">
      <w:pPr>
        <w:pStyle w:val="ListParagraph"/>
        <w:numPr>
          <w:ilvl w:val="0"/>
          <w:numId w:val="43"/>
        </w:numPr>
        <w:jc w:val="both"/>
      </w:pPr>
      <w:r w:rsidRPr="00014F7C">
        <w:t xml:space="preserve">Treatment is for nocturnal hypoxemia in a member/enrollee who qualifies for Group I (as defined in </w:t>
      </w:r>
      <w:r w:rsidR="00153835" w:rsidRPr="00014F7C">
        <w:t xml:space="preserve">criteria </w:t>
      </w:r>
      <w:r w:rsidRPr="00014F7C">
        <w:t xml:space="preserve">section I), and </w:t>
      </w:r>
      <w:r w:rsidR="00153835" w:rsidRPr="00014F7C">
        <w:t>two</w:t>
      </w:r>
      <w:r w:rsidRPr="00014F7C">
        <w:t xml:space="preserve"> oxygen requests have already been authorized;</w:t>
      </w:r>
    </w:p>
    <w:p w14:paraId="07F9E3B7" w14:textId="77777777" w:rsidR="009760CE" w:rsidRPr="00014F7C" w:rsidRDefault="009760CE" w:rsidP="00014F7C">
      <w:pPr>
        <w:pStyle w:val="ListParagraph"/>
        <w:numPr>
          <w:ilvl w:val="0"/>
          <w:numId w:val="43"/>
        </w:numPr>
        <w:tabs>
          <w:tab w:val="left" w:pos="1530"/>
        </w:tabs>
        <w:jc w:val="both"/>
      </w:pPr>
      <w:r w:rsidRPr="00014F7C">
        <w:t>A new arterial blood gas (ABG) or pulse oximetry result documents that member</w:t>
      </w:r>
      <w:r w:rsidR="003E332D" w:rsidRPr="00014F7C">
        <w:t>/enrollees</w:t>
      </w:r>
      <w:r w:rsidRPr="00014F7C">
        <w:t xml:space="preserve"> still meets the criteria in section I above (initial approval criteria), and one of the following:</w:t>
      </w:r>
      <w:r w:rsidR="00070282" w:rsidRPr="00014F7C">
        <w:t xml:space="preserve"> </w:t>
      </w:r>
    </w:p>
    <w:p w14:paraId="18A1977C" w14:textId="0AEAEB7F" w:rsidR="00921727" w:rsidRPr="00014F7C" w:rsidRDefault="009760CE" w:rsidP="00014F7C">
      <w:pPr>
        <w:pStyle w:val="ListParagraph"/>
        <w:numPr>
          <w:ilvl w:val="0"/>
          <w:numId w:val="44"/>
        </w:numPr>
        <w:ind w:left="1440"/>
        <w:jc w:val="both"/>
      </w:pPr>
      <w:r w:rsidRPr="00014F7C">
        <w:t xml:space="preserve">For Group </w:t>
      </w:r>
      <w:r w:rsidR="004F77D3" w:rsidRPr="00014F7C">
        <w:t>I</w:t>
      </w:r>
      <w:r w:rsidR="004A11EC" w:rsidRPr="00014F7C">
        <w:t xml:space="preserve"> (as defined in section I)</w:t>
      </w:r>
      <w:r w:rsidR="002C6AE3" w:rsidRPr="00014F7C">
        <w:t>, t</w:t>
      </w:r>
      <w:r w:rsidRPr="00014F7C">
        <w:t xml:space="preserve">he measurement </w:t>
      </w:r>
      <w:r w:rsidR="004A11EC" w:rsidRPr="00014F7C">
        <w:t>is</w:t>
      </w:r>
      <w:r w:rsidRPr="00014F7C">
        <w:t xml:space="preserve"> obtained within 90 days of the recertification date, and by the physician or designee</w:t>
      </w:r>
      <w:r w:rsidR="00767011" w:rsidRPr="00014F7C">
        <w:t>, or by an independent diagnostic testing facility (IDTF)</w:t>
      </w:r>
      <w:r w:rsidR="00921727" w:rsidRPr="00014F7C">
        <w:t>.</w:t>
      </w:r>
      <w:r w:rsidRPr="00014F7C">
        <w:t xml:space="preserve"> </w:t>
      </w:r>
      <w:r w:rsidR="00921727" w:rsidRPr="00014F7C">
        <w:t>O</w:t>
      </w:r>
      <w:r w:rsidR="00921727" w:rsidRPr="00014F7C">
        <w:rPr>
          <w:vertAlign w:val="subscript"/>
        </w:rPr>
        <w:t>2</w:t>
      </w:r>
      <w:r w:rsidR="00921727" w:rsidRPr="00014F7C">
        <w:t xml:space="preserve"> levels</w:t>
      </w:r>
      <w:r w:rsidR="002C6AE3" w:rsidRPr="00014F7C">
        <w:t xml:space="preserve"> obtained by DME providers do not qualify</w:t>
      </w:r>
      <w:r w:rsidR="00921727" w:rsidRPr="00014F7C">
        <w:t xml:space="preserve">. Home oxygen companies are permitted to coordinate with an IDTF for the purpose of obtaining needed overnight oximetry </w:t>
      </w:r>
      <w:r w:rsidR="00151E9B" w:rsidRPr="00014F7C">
        <w:t>saturation testing;</w:t>
      </w:r>
    </w:p>
    <w:p w14:paraId="0A3D25C6" w14:textId="715915AA" w:rsidR="00406623" w:rsidRPr="00014F7C" w:rsidRDefault="009760CE" w:rsidP="00014F7C">
      <w:pPr>
        <w:pStyle w:val="ListParagraph"/>
        <w:numPr>
          <w:ilvl w:val="0"/>
          <w:numId w:val="44"/>
        </w:numPr>
        <w:ind w:left="1440"/>
        <w:jc w:val="both"/>
      </w:pPr>
      <w:r w:rsidRPr="00014F7C">
        <w:t xml:space="preserve">For Group </w:t>
      </w:r>
      <w:r w:rsidR="004F77D3" w:rsidRPr="00014F7C">
        <w:t>II</w:t>
      </w:r>
      <w:r w:rsidRPr="00014F7C">
        <w:t xml:space="preserve"> (</w:t>
      </w:r>
      <w:r w:rsidR="00E039D6" w:rsidRPr="00014F7C">
        <w:t>as defined in section I</w:t>
      </w:r>
      <w:r w:rsidR="004A11EC" w:rsidRPr="00014F7C">
        <w:t xml:space="preserve">; </w:t>
      </w:r>
      <w:r w:rsidRPr="00014F7C">
        <w:t xml:space="preserve">rare cases where initial certification was for </w:t>
      </w:r>
      <w:r w:rsidR="00153835" w:rsidRPr="00014F7C">
        <w:t>three</w:t>
      </w:r>
      <w:r w:rsidRPr="00014F7C">
        <w:t xml:space="preserve"> months with PO</w:t>
      </w:r>
      <w:r w:rsidRPr="00014F7C">
        <w:rPr>
          <w:vertAlign w:val="subscript"/>
        </w:rPr>
        <w:t>2</w:t>
      </w:r>
      <w:r w:rsidRPr="00014F7C">
        <w:t xml:space="preserve"> 56</w:t>
      </w:r>
      <w:r w:rsidR="00153835" w:rsidRPr="00014F7C">
        <w:t xml:space="preserve"> through</w:t>
      </w:r>
      <w:r w:rsidR="00830CD7" w:rsidRPr="00014F7C">
        <w:t xml:space="preserve"> </w:t>
      </w:r>
      <w:r w:rsidRPr="00014F7C">
        <w:t>59 or O</w:t>
      </w:r>
      <w:r w:rsidRPr="00014F7C">
        <w:rPr>
          <w:vertAlign w:val="subscript"/>
        </w:rPr>
        <w:t>2</w:t>
      </w:r>
      <w:r w:rsidRPr="00014F7C">
        <w:t xml:space="preserve"> sat 89%), a repeat ABG or oximetry must be obtained within 30 days of recertification date</w:t>
      </w:r>
      <w:r w:rsidR="00406623" w:rsidRPr="00014F7C">
        <w:t>;</w:t>
      </w:r>
    </w:p>
    <w:p w14:paraId="66DED978" w14:textId="77777777" w:rsidR="00B3440F" w:rsidRPr="00014F7C" w:rsidRDefault="00B3440F" w:rsidP="00014F7C">
      <w:pPr>
        <w:pStyle w:val="ListParagraph"/>
        <w:numPr>
          <w:ilvl w:val="0"/>
          <w:numId w:val="29"/>
        </w:numPr>
        <w:jc w:val="both"/>
      </w:pPr>
      <w:bookmarkStart w:id="0" w:name="_Hlk160788962"/>
      <w:r w:rsidRPr="00014F7C">
        <w:t>If the request is for a portable oxygen system, the following</w:t>
      </w:r>
      <w:r w:rsidRPr="00014F7C">
        <w:rPr>
          <w:vertAlign w:val="superscript"/>
        </w:rPr>
        <w:t>8</w:t>
      </w:r>
      <w:r w:rsidRPr="00014F7C">
        <w:t xml:space="preserve"> must be met:</w:t>
      </w:r>
    </w:p>
    <w:p w14:paraId="0E49C7CF" w14:textId="77777777" w:rsidR="00B3440F" w:rsidRPr="00014F7C" w:rsidRDefault="00B3440F" w:rsidP="00014F7C">
      <w:pPr>
        <w:pStyle w:val="ListParagraph"/>
        <w:numPr>
          <w:ilvl w:val="1"/>
          <w:numId w:val="29"/>
        </w:numPr>
        <w:jc w:val="both"/>
      </w:pPr>
      <w:r w:rsidRPr="00014F7C">
        <w:lastRenderedPageBreak/>
        <w:t xml:space="preserve">Member/enrollees </w:t>
      </w:r>
      <w:r w:rsidR="00AE0BA0" w:rsidRPr="00014F7C">
        <w:t>need</w:t>
      </w:r>
      <w:r w:rsidRPr="00014F7C">
        <w:t xml:space="preserve"> continuous oxygen and require portable units while in route to a doctor’s office, hospital, or medically necessary appointment.</w:t>
      </w:r>
    </w:p>
    <w:p w14:paraId="3F83034D" w14:textId="77777777" w:rsidR="00944FCA" w:rsidRPr="00014F7C" w:rsidRDefault="00B3440F" w:rsidP="00014F7C">
      <w:pPr>
        <w:pStyle w:val="ListParagraph"/>
        <w:numPr>
          <w:ilvl w:val="1"/>
          <w:numId w:val="29"/>
        </w:numPr>
        <w:jc w:val="both"/>
      </w:pPr>
      <w:r w:rsidRPr="00014F7C">
        <w:t>Documentation of medical necessity as well as the anticipated number of visits per month needed must be submitted by the members/enrollees treating physician with the prior authorization request.</w:t>
      </w:r>
    </w:p>
    <w:p w14:paraId="651C1740" w14:textId="2894621C" w:rsidR="00B70E48" w:rsidRPr="00014F7C" w:rsidRDefault="00B3440F" w:rsidP="00014F7C">
      <w:pPr>
        <w:pStyle w:val="ListParagraph"/>
        <w:numPr>
          <w:ilvl w:val="0"/>
          <w:numId w:val="29"/>
        </w:numPr>
        <w:jc w:val="both"/>
      </w:pPr>
      <w:r w:rsidRPr="00014F7C">
        <w:t>If the request is for a portable oxygen system, The portable systems will not be approved to be used on a standby basis only. Units will be authorized per month based on review of submitted medical justification. An example of justification for refills includes, but is not limited to, multiple weekly visits for radiation or chemotherapy.</w:t>
      </w:r>
      <w:bookmarkEnd w:id="0"/>
    </w:p>
    <w:p w14:paraId="62F019A2" w14:textId="77777777" w:rsidR="004E59C8" w:rsidRPr="00014F7C" w:rsidRDefault="004E59C8" w:rsidP="00014F7C">
      <w:pPr>
        <w:jc w:val="both"/>
      </w:pPr>
    </w:p>
    <w:p w14:paraId="30144A5F" w14:textId="77777777" w:rsidR="004E59C8" w:rsidRPr="00014F7C" w:rsidRDefault="004E59C8" w:rsidP="00014F7C">
      <w:pPr>
        <w:numPr>
          <w:ilvl w:val="0"/>
          <w:numId w:val="11"/>
        </w:numPr>
        <w:jc w:val="both"/>
      </w:pPr>
      <w:r w:rsidRPr="00014F7C">
        <w:t xml:space="preserve"> It is the policy of </w:t>
      </w:r>
      <w:r w:rsidR="003E4855" w:rsidRPr="00014F7C">
        <w:rPr>
          <w:bCs/>
          <w:color w:val="000000"/>
        </w:rPr>
        <w:t>Louisiana Healthcare Connections</w:t>
      </w:r>
      <w:r w:rsidRPr="00014F7C">
        <w:t xml:space="preserve"> that reauthorization of oxygen concentrators and other supplemental oxygen delivery systems for </w:t>
      </w:r>
      <w:r w:rsidR="0023174D" w:rsidRPr="00014F7C">
        <w:t>members/enrollees</w:t>
      </w:r>
      <w:r w:rsidRPr="00014F7C">
        <w:t xml:space="preserve"> &lt; </w:t>
      </w:r>
      <w:r w:rsidR="000C2DB6" w:rsidRPr="00014F7C">
        <w:t>21</w:t>
      </w:r>
      <w:r w:rsidR="00790BFA" w:rsidRPr="00014F7C">
        <w:t xml:space="preserve"> years</w:t>
      </w:r>
      <w:r w:rsidRPr="00014F7C">
        <w:t xml:space="preserve"> of age (including medically fragile </w:t>
      </w:r>
      <w:r w:rsidR="0023174D" w:rsidRPr="00014F7C">
        <w:t>members/enrollees</w:t>
      </w:r>
      <w:r w:rsidRPr="00014F7C">
        <w:t xml:space="preserve"> and those covered by EPSDT) are medically necessary when meeting </w:t>
      </w:r>
      <w:r w:rsidR="00C81C51" w:rsidRPr="00014F7C">
        <w:t xml:space="preserve">all </w:t>
      </w:r>
      <w:r w:rsidRPr="00014F7C">
        <w:t>of the following:</w:t>
      </w:r>
    </w:p>
    <w:p w14:paraId="694F8BAB" w14:textId="17C2FAAD" w:rsidR="008614AA" w:rsidRPr="00014F7C" w:rsidRDefault="004E59C8" w:rsidP="00014F7C">
      <w:pPr>
        <w:pStyle w:val="ListParagraph"/>
        <w:numPr>
          <w:ilvl w:val="0"/>
          <w:numId w:val="45"/>
        </w:numPr>
        <w:tabs>
          <w:tab w:val="left" w:pos="1530"/>
        </w:tabs>
        <w:jc w:val="both"/>
      </w:pPr>
      <w:r w:rsidRPr="00014F7C">
        <w:t xml:space="preserve">Evaluation by the treating physician within </w:t>
      </w:r>
      <w:r w:rsidR="003166A6" w:rsidRPr="00014F7C">
        <w:t>30</w:t>
      </w:r>
      <w:r w:rsidRPr="00014F7C">
        <w:t xml:space="preserve"> days prior to the date of recertification;</w:t>
      </w:r>
      <w:r w:rsidR="00161B64" w:rsidRPr="00014F7C">
        <w:t xml:space="preserve"> and o</w:t>
      </w:r>
      <w:r w:rsidR="008614AA" w:rsidRPr="00014F7C">
        <w:t>ne of the following:</w:t>
      </w:r>
    </w:p>
    <w:p w14:paraId="2BAE0806" w14:textId="2E1787AE" w:rsidR="005F0568" w:rsidRPr="00014F7C" w:rsidRDefault="004E59C8" w:rsidP="00014F7C">
      <w:pPr>
        <w:pStyle w:val="ListParagraph"/>
        <w:numPr>
          <w:ilvl w:val="0"/>
          <w:numId w:val="46"/>
        </w:numPr>
        <w:tabs>
          <w:tab w:val="left" w:pos="1530"/>
        </w:tabs>
        <w:jc w:val="both"/>
      </w:pPr>
      <w:r w:rsidRPr="00014F7C">
        <w:t xml:space="preserve">A new recorded </w:t>
      </w:r>
      <w:r w:rsidR="00C93F93" w:rsidRPr="00014F7C">
        <w:t>(overnight</w:t>
      </w:r>
      <w:r w:rsidR="008614AA" w:rsidRPr="00014F7C">
        <w:t xml:space="preserve"> recommended</w:t>
      </w:r>
      <w:r w:rsidR="00C93F93" w:rsidRPr="00014F7C">
        <w:t xml:space="preserve">) </w:t>
      </w:r>
      <w:r w:rsidRPr="00014F7C">
        <w:t>pulse oximetry trac</w:t>
      </w:r>
      <w:r w:rsidR="00ED75A3" w:rsidRPr="00014F7C">
        <w:t>k</w:t>
      </w:r>
      <w:r w:rsidRPr="00014F7C">
        <w:t>ing, sleep study report, or blood gas result documents that the member</w:t>
      </w:r>
      <w:r w:rsidR="00FF6B78" w:rsidRPr="00014F7C">
        <w:t>/enrollee</w:t>
      </w:r>
      <w:r w:rsidR="008D5AB0" w:rsidRPr="00014F7C">
        <w:t xml:space="preserve"> </w:t>
      </w:r>
      <w:r w:rsidRPr="00014F7C">
        <w:t xml:space="preserve">still meets the initial authorization criteria in </w:t>
      </w:r>
      <w:r w:rsidR="00C93F93" w:rsidRPr="00014F7C">
        <w:t>S</w:t>
      </w:r>
      <w:r w:rsidRPr="00014F7C">
        <w:t>ection I</w:t>
      </w:r>
      <w:r w:rsidR="00EC1AF7" w:rsidRPr="00014F7C">
        <w:t>I</w:t>
      </w:r>
      <w:r w:rsidRPr="00014F7C">
        <w:t xml:space="preserve"> above, </w:t>
      </w:r>
      <w:r w:rsidR="005F0568" w:rsidRPr="00014F7C">
        <w:t>and the measurement meets both of the following:</w:t>
      </w:r>
    </w:p>
    <w:p w14:paraId="4E768D0B" w14:textId="77777777" w:rsidR="005F0568" w:rsidRPr="00014F7C" w:rsidRDefault="005F0568" w:rsidP="00014F7C">
      <w:pPr>
        <w:pStyle w:val="ListParagraph"/>
        <w:numPr>
          <w:ilvl w:val="3"/>
          <w:numId w:val="11"/>
        </w:numPr>
        <w:tabs>
          <w:tab w:val="left" w:pos="1530"/>
        </w:tabs>
        <w:ind w:left="1440"/>
        <w:jc w:val="both"/>
      </w:pPr>
      <w:r w:rsidRPr="00014F7C">
        <w:t>Obtained</w:t>
      </w:r>
      <w:r w:rsidR="004E59C8" w:rsidRPr="00014F7C">
        <w:t xml:space="preserve"> within 30 days of the recertification date</w:t>
      </w:r>
      <w:r w:rsidRPr="00014F7C">
        <w:t>;</w:t>
      </w:r>
    </w:p>
    <w:p w14:paraId="350DC80C" w14:textId="77777777" w:rsidR="004E59C8" w:rsidRPr="00014F7C" w:rsidRDefault="005F0568" w:rsidP="00014F7C">
      <w:pPr>
        <w:pStyle w:val="ListParagraph"/>
        <w:numPr>
          <w:ilvl w:val="3"/>
          <w:numId w:val="11"/>
        </w:numPr>
        <w:tabs>
          <w:tab w:val="left" w:pos="1530"/>
        </w:tabs>
        <w:ind w:left="1440"/>
        <w:jc w:val="both"/>
      </w:pPr>
      <w:r w:rsidRPr="00014F7C">
        <w:t>Obtained by</w:t>
      </w:r>
      <w:r w:rsidR="004E59C8" w:rsidRPr="00014F7C">
        <w:t xml:space="preserve"> the physician or designee, or by an independent diagnostic testing facility (IDTF). DME companies are prohibited from obtaining the O</w:t>
      </w:r>
      <w:r w:rsidR="004E59C8" w:rsidRPr="00014F7C">
        <w:rPr>
          <w:vertAlign w:val="subscript"/>
        </w:rPr>
        <w:t>2</w:t>
      </w:r>
      <w:r w:rsidR="004E59C8" w:rsidRPr="00014F7C">
        <w:t xml:space="preserve"> levels unless they are also home oxygen providers. Home oxygen companies are permitted to coordinate with an IDTF for the purpose of obtaining needed overnight oximetry saturation testing; </w:t>
      </w:r>
    </w:p>
    <w:p w14:paraId="6CC04129" w14:textId="77777777" w:rsidR="004E59C8" w:rsidRPr="00014F7C" w:rsidRDefault="008614AA" w:rsidP="00014F7C">
      <w:pPr>
        <w:pStyle w:val="ListParagraph"/>
        <w:numPr>
          <w:ilvl w:val="0"/>
          <w:numId w:val="46"/>
        </w:numPr>
        <w:jc w:val="both"/>
      </w:pPr>
      <w:r w:rsidRPr="00014F7C">
        <w:t>C</w:t>
      </w:r>
      <w:r w:rsidR="004E59C8" w:rsidRPr="00014F7C">
        <w:t>hronic hypoxemia is not expected to</w:t>
      </w:r>
      <w:r w:rsidR="00153835" w:rsidRPr="00014F7C">
        <w:t xml:space="preserve"> resolve</w:t>
      </w:r>
      <w:r w:rsidR="004E59C8" w:rsidRPr="00014F7C">
        <w:t xml:space="preserve"> or </w:t>
      </w:r>
      <w:r w:rsidRPr="00014F7C">
        <w:t xml:space="preserve">is expected to </w:t>
      </w:r>
      <w:r w:rsidR="004E59C8" w:rsidRPr="00014F7C">
        <w:t>worsen</w:t>
      </w:r>
      <w:r w:rsidR="006444EC" w:rsidRPr="00014F7C">
        <w:t>, as documented in</w:t>
      </w:r>
      <w:r w:rsidR="00386DD5" w:rsidRPr="00014F7C">
        <w:t xml:space="preserve"> an explanatory letter of medical necessity (LOMN)</w:t>
      </w:r>
      <w:r w:rsidR="00406623" w:rsidRPr="00014F7C">
        <w:t>;</w:t>
      </w:r>
    </w:p>
    <w:p w14:paraId="2690A2B4" w14:textId="77777777" w:rsidR="004A40A3" w:rsidRPr="00014F7C" w:rsidRDefault="004A40A3" w:rsidP="00014F7C">
      <w:pPr>
        <w:pStyle w:val="ListParagraph"/>
        <w:numPr>
          <w:ilvl w:val="1"/>
          <w:numId w:val="11"/>
        </w:numPr>
        <w:jc w:val="both"/>
      </w:pPr>
      <w:r w:rsidRPr="00014F7C">
        <w:t>If the request is for a portable oxygen system, the following</w:t>
      </w:r>
      <w:r w:rsidRPr="00014F7C">
        <w:rPr>
          <w:vertAlign w:val="superscript"/>
        </w:rPr>
        <w:t>8</w:t>
      </w:r>
      <w:r w:rsidRPr="00014F7C">
        <w:t xml:space="preserve"> must be met:</w:t>
      </w:r>
    </w:p>
    <w:p w14:paraId="15BEA0F2" w14:textId="77777777" w:rsidR="004A40A3" w:rsidRPr="00014F7C" w:rsidRDefault="004A40A3" w:rsidP="00014F7C">
      <w:pPr>
        <w:pStyle w:val="ListParagraph"/>
        <w:numPr>
          <w:ilvl w:val="2"/>
          <w:numId w:val="11"/>
        </w:numPr>
        <w:jc w:val="both"/>
      </w:pPr>
      <w:r w:rsidRPr="00014F7C">
        <w:t xml:space="preserve">Member/enrollees </w:t>
      </w:r>
      <w:r w:rsidR="00AE0BA0" w:rsidRPr="00014F7C">
        <w:t>need</w:t>
      </w:r>
      <w:r w:rsidRPr="00014F7C">
        <w:t xml:space="preserve"> continuous oxygen and require portable units while in route to a doctor’s office, hospital, </w:t>
      </w:r>
      <w:r w:rsidR="00A6077B" w:rsidRPr="00014F7C">
        <w:t xml:space="preserve">travel to and from school </w:t>
      </w:r>
      <w:r w:rsidRPr="00014F7C">
        <w:t>or medically necessary appointment.</w:t>
      </w:r>
    </w:p>
    <w:p w14:paraId="4D311750" w14:textId="77777777" w:rsidR="00F10609" w:rsidRPr="00014F7C" w:rsidRDefault="004A40A3" w:rsidP="00014F7C">
      <w:pPr>
        <w:pStyle w:val="ListParagraph"/>
        <w:numPr>
          <w:ilvl w:val="2"/>
          <w:numId w:val="11"/>
        </w:numPr>
        <w:jc w:val="both"/>
      </w:pPr>
      <w:r w:rsidRPr="00014F7C">
        <w:t>Documentation of medical necessity as well as the anticipated number of visits per month needed must be submitted by the members/enrollees treating physician with the prior authorization request.</w:t>
      </w:r>
    </w:p>
    <w:p w14:paraId="6F584920" w14:textId="4D67CD9F" w:rsidR="004A40A3" w:rsidRPr="00F10609" w:rsidRDefault="004A40A3" w:rsidP="00014F7C">
      <w:pPr>
        <w:pStyle w:val="ListParagraph"/>
        <w:numPr>
          <w:ilvl w:val="1"/>
          <w:numId w:val="11"/>
        </w:numPr>
        <w:jc w:val="both"/>
        <w:rPr>
          <w:rFonts w:eastAsia="Arial"/>
          <w:i/>
          <w:iCs/>
          <w:color w:val="000000"/>
        </w:rPr>
      </w:pPr>
      <w:r w:rsidRPr="00014F7C">
        <w:t>If the request is for a portable oxygen system, The portable systems will not be approved</w:t>
      </w:r>
      <w:r>
        <w:t xml:space="preserve"> to be used on a standby basis only. Units will be authorized per month based on review of submitted medical justification. An example of justification for refills includes, but is not limited to, multiple weekly visits for radiation or chemotherapy.</w:t>
      </w:r>
    </w:p>
    <w:p w14:paraId="75A79FB5" w14:textId="77777777" w:rsidR="002D7DA1" w:rsidRDefault="002D7DA1">
      <w:pPr>
        <w:ind w:left="720"/>
        <w:jc w:val="both"/>
        <w:rPr>
          <w:rFonts w:eastAsia="Arial"/>
          <w:i/>
          <w:iCs/>
          <w:color w:val="000000"/>
        </w:rPr>
      </w:pPr>
    </w:p>
    <w:p w14:paraId="0374D638" w14:textId="77777777" w:rsidR="00087D72" w:rsidRDefault="002D7DA1" w:rsidP="00087D72">
      <w:pPr>
        <w:pStyle w:val="ListParagraph"/>
        <w:numPr>
          <w:ilvl w:val="0"/>
          <w:numId w:val="11"/>
        </w:numPr>
        <w:tabs>
          <w:tab w:val="left" w:pos="1530"/>
        </w:tabs>
        <w:jc w:val="both"/>
      </w:pPr>
      <w:r>
        <w:t>I</w:t>
      </w:r>
      <w:r w:rsidR="00BE7C70" w:rsidRPr="00014F7C">
        <w:t xml:space="preserve">t is the policy of </w:t>
      </w:r>
      <w:r w:rsidR="00BE7C70" w:rsidRPr="00014F7C">
        <w:rPr>
          <w:bCs/>
          <w:color w:val="000000"/>
        </w:rPr>
        <w:t>Louisiana Healthcare Connections</w:t>
      </w:r>
      <w:r w:rsidR="00BE7C70" w:rsidRPr="00014F7C">
        <w:t xml:space="preserve"> that reauthorization of oxygen concentrators and other supplemental oxygen delivery systems for members/enrollees</w:t>
      </w:r>
      <w:r w:rsidR="008B50DE" w:rsidRPr="00F05510">
        <w:t xml:space="preserve"> shal</w:t>
      </w:r>
      <w:r w:rsidR="00CE034E" w:rsidRPr="00F05510">
        <w:t>l</w:t>
      </w:r>
      <w:r w:rsidR="008B50DE" w:rsidRPr="00F05510">
        <w:t xml:space="preserve"> not be denied in the event</w:t>
      </w:r>
      <w:r w:rsidR="00CE034E" w:rsidRPr="00F05510">
        <w:t xml:space="preserve"> reevaluation of the treating physician has not occurred </w:t>
      </w:r>
      <w:r w:rsidR="00E50113">
        <w:t>prior to</w:t>
      </w:r>
      <w:r w:rsidR="00CE034E" w:rsidRPr="00014F7C">
        <w:t xml:space="preserve"> the </w:t>
      </w:r>
      <w:r w:rsidR="00882CC6">
        <w:t xml:space="preserve">pertinent </w:t>
      </w:r>
      <w:r w:rsidR="00CE034E" w:rsidRPr="00014F7C">
        <w:t>recertification</w:t>
      </w:r>
      <w:r w:rsidR="000941EE">
        <w:t xml:space="preserve"> </w:t>
      </w:r>
      <w:r w:rsidR="00882CC6">
        <w:t>date</w:t>
      </w:r>
      <w:r w:rsidR="00927175">
        <w:t xml:space="preserve"> criteria</w:t>
      </w:r>
      <w:r w:rsidR="00CE034E" w:rsidRPr="00F05510">
        <w:t xml:space="preserve"> if any of the following exist: </w:t>
      </w:r>
    </w:p>
    <w:p w14:paraId="5EFCC4D9" w14:textId="77777777" w:rsidR="00087D72" w:rsidRDefault="00087D72" w:rsidP="00087D72">
      <w:pPr>
        <w:pStyle w:val="ListParagraph"/>
        <w:numPr>
          <w:ilvl w:val="1"/>
          <w:numId w:val="11"/>
        </w:numPr>
        <w:tabs>
          <w:tab w:val="left" w:pos="1530"/>
        </w:tabs>
        <w:jc w:val="both"/>
      </w:pPr>
      <w:r>
        <w:lastRenderedPageBreak/>
        <w:t>T</w:t>
      </w:r>
      <w:r w:rsidR="00CE034E" w:rsidRPr="00F05510">
        <w:t xml:space="preserve">here is a pending </w:t>
      </w:r>
      <w:r w:rsidR="001C3942" w:rsidRPr="00F05510">
        <w:t>scheduled appointment by and between the member/</w:t>
      </w:r>
      <w:r w:rsidR="00491856" w:rsidRPr="00F05510">
        <w:t>enrollee</w:t>
      </w:r>
      <w:r w:rsidR="001C3942" w:rsidRPr="00F05510">
        <w:t xml:space="preserve"> and their treating physician </w:t>
      </w:r>
      <w:r w:rsidR="00491856" w:rsidRPr="00F05510">
        <w:t>at the time of the recertification date</w:t>
      </w:r>
      <w:r w:rsidR="00F047C4" w:rsidRPr="00F05510">
        <w:t xml:space="preserve"> though reevaluation has not occurred</w:t>
      </w:r>
      <w:r w:rsidR="00491856" w:rsidRPr="00F05510">
        <w:t xml:space="preserve">; </w:t>
      </w:r>
      <w:r w:rsidR="009F66B9" w:rsidRPr="00F05510">
        <w:t xml:space="preserve">or </w:t>
      </w:r>
    </w:p>
    <w:p w14:paraId="7085F3EF" w14:textId="48398E5F" w:rsidR="005A7A79" w:rsidRDefault="00087D72" w:rsidP="00E50113">
      <w:pPr>
        <w:tabs>
          <w:tab w:val="left" w:pos="1530"/>
        </w:tabs>
        <w:jc w:val="both"/>
      </w:pPr>
      <w:r>
        <w:t xml:space="preserve">B. </w:t>
      </w:r>
      <w:r w:rsidR="00491856" w:rsidRPr="00F05510">
        <w:t>there is good cause why the member/enrollee could not schedule</w:t>
      </w:r>
      <w:r w:rsidR="009F66B9" w:rsidRPr="00F05510">
        <w:t xml:space="preserve"> </w:t>
      </w:r>
      <w:r w:rsidR="00F047C4" w:rsidRPr="00F05510">
        <w:t xml:space="preserve">and/or attend </w:t>
      </w:r>
      <w:r w:rsidR="009F66B9" w:rsidRPr="00F05510">
        <w:t>the reevaluation appointment</w:t>
      </w:r>
      <w:r w:rsidR="00F047C4" w:rsidRPr="00F05510">
        <w:t xml:space="preserve"> due to good cause</w:t>
      </w:r>
      <w:r w:rsidR="009F66B9" w:rsidRPr="00F05510">
        <w:t>.</w:t>
      </w:r>
      <w:r w:rsidR="00FE5F97" w:rsidRPr="00F05510">
        <w:t xml:space="preserve"> “Good cause” exists in the event the member/enrollee was physically</w:t>
      </w:r>
      <w:r w:rsidR="00F047C4" w:rsidRPr="00F05510">
        <w:t xml:space="preserve"> or mentally</w:t>
      </w:r>
      <w:r w:rsidR="00FE5F97" w:rsidRPr="00F05510">
        <w:t xml:space="preserve"> unable to schedule </w:t>
      </w:r>
      <w:r w:rsidR="00F047C4" w:rsidRPr="00F05510">
        <w:t xml:space="preserve">and/or attend </w:t>
      </w:r>
      <w:r w:rsidR="00FE5F97" w:rsidRPr="00F05510">
        <w:t xml:space="preserve">his/her appointment </w:t>
      </w:r>
      <w:r w:rsidR="00F047C4" w:rsidRPr="00F05510">
        <w:t>due to unforeseen circumstances</w:t>
      </w:r>
      <w:r w:rsidR="004B33AB" w:rsidRPr="00F05510">
        <w:t xml:space="preserve"> and the member/enrollee has a historically used the </w:t>
      </w:r>
      <w:r w:rsidR="004B33AB" w:rsidRPr="00014F7C">
        <w:t>oxygen concentrators and other supplemental oxygen delivery system</w:t>
      </w:r>
      <w:r w:rsidR="004B33AB" w:rsidRPr="00F05510">
        <w:t>s.</w:t>
      </w:r>
    </w:p>
    <w:p w14:paraId="70311716" w14:textId="77777777" w:rsidR="00BE7C70" w:rsidRPr="006B1E21" w:rsidRDefault="00BE7C70" w:rsidP="00014F7C">
      <w:pPr>
        <w:tabs>
          <w:tab w:val="left" w:pos="1530"/>
        </w:tabs>
        <w:jc w:val="both"/>
        <w:rPr>
          <w:b/>
          <w:sz w:val="20"/>
          <w:u w:val="single"/>
        </w:rPr>
      </w:pPr>
    </w:p>
    <w:p w14:paraId="5DB0CBF8" w14:textId="1E868702" w:rsidR="009760CE" w:rsidRPr="00B42351" w:rsidRDefault="009760CE" w:rsidP="00014F7C">
      <w:pPr>
        <w:pStyle w:val="ListParagraph"/>
        <w:numPr>
          <w:ilvl w:val="0"/>
          <w:numId w:val="11"/>
        </w:numPr>
        <w:jc w:val="both"/>
      </w:pPr>
      <w:r w:rsidRPr="00F04915">
        <w:rPr>
          <w:bCs/>
          <w:color w:val="000000"/>
        </w:rPr>
        <w:t xml:space="preserve">It is the policy of </w:t>
      </w:r>
      <w:r w:rsidR="003E4855" w:rsidRPr="00F04915">
        <w:rPr>
          <w:bCs/>
          <w:color w:val="000000"/>
        </w:rPr>
        <w:t>Louisiana Healthcare Connections</w:t>
      </w:r>
      <w:r w:rsidRPr="00F04915">
        <w:rPr>
          <w:bCs/>
          <w:color w:val="000000"/>
        </w:rPr>
        <w:t xml:space="preserve"> </w:t>
      </w:r>
      <w:r w:rsidRPr="00B42351">
        <w:t xml:space="preserve">that oxygen concentrators </w:t>
      </w:r>
      <w:r w:rsidRPr="00F04915">
        <w:rPr>
          <w:b/>
        </w:rPr>
        <w:t>are not</w:t>
      </w:r>
      <w:r w:rsidRPr="006B1E21">
        <w:t xml:space="preserve"> </w:t>
      </w:r>
      <w:r w:rsidRPr="00F04915">
        <w:rPr>
          <w:b/>
        </w:rPr>
        <w:t>medically necessary</w:t>
      </w:r>
      <w:r w:rsidRPr="00B42351">
        <w:t xml:space="preserve"> for the following indications</w:t>
      </w:r>
      <w:r w:rsidR="004C3523" w:rsidRPr="00F04915">
        <w:rPr>
          <w:vertAlign w:val="superscript"/>
        </w:rPr>
        <w:t>1,</w:t>
      </w:r>
      <w:r w:rsidR="006D7BA5" w:rsidRPr="00F04915">
        <w:rPr>
          <w:vertAlign w:val="superscript"/>
        </w:rPr>
        <w:t>3,</w:t>
      </w:r>
      <w:r w:rsidR="004C3523" w:rsidRPr="00F04915">
        <w:rPr>
          <w:vertAlign w:val="superscript"/>
        </w:rPr>
        <w:t>8</w:t>
      </w:r>
      <w:r w:rsidRPr="00B42351">
        <w:t>:</w:t>
      </w:r>
    </w:p>
    <w:p w14:paraId="628DC9AD" w14:textId="77777777" w:rsidR="009760CE" w:rsidRPr="00B42351" w:rsidRDefault="009760CE" w:rsidP="00014F7C">
      <w:pPr>
        <w:pStyle w:val="ListParagraph"/>
        <w:numPr>
          <w:ilvl w:val="0"/>
          <w:numId w:val="28"/>
        </w:numPr>
        <w:spacing w:after="5" w:line="249" w:lineRule="auto"/>
        <w:ind w:left="720" w:right="8"/>
        <w:jc w:val="both"/>
      </w:pPr>
      <w:r w:rsidRPr="00B42351">
        <w:t>Angina pectoris in the absence of hypoxemia;</w:t>
      </w:r>
      <w:r w:rsidR="0015506B">
        <w:t xml:space="preserve"> </w:t>
      </w:r>
    </w:p>
    <w:p w14:paraId="747ED0DB" w14:textId="77777777" w:rsidR="009760CE" w:rsidRPr="00B42351" w:rsidRDefault="009760CE" w:rsidP="00014F7C">
      <w:pPr>
        <w:pStyle w:val="ListParagraph"/>
        <w:numPr>
          <w:ilvl w:val="0"/>
          <w:numId w:val="28"/>
        </w:numPr>
        <w:spacing w:after="5" w:line="249" w:lineRule="auto"/>
        <w:ind w:left="720" w:right="8"/>
        <w:jc w:val="both"/>
      </w:pPr>
      <w:r w:rsidRPr="00B42351">
        <w:t>Breathlessness without cor pulmonale or evidence of hypoxemia;</w:t>
      </w:r>
    </w:p>
    <w:p w14:paraId="401F47B0" w14:textId="77777777" w:rsidR="009760CE" w:rsidRDefault="009760CE" w:rsidP="00014F7C">
      <w:pPr>
        <w:pStyle w:val="ListParagraph"/>
        <w:numPr>
          <w:ilvl w:val="0"/>
          <w:numId w:val="28"/>
        </w:numPr>
        <w:spacing w:after="5" w:line="249" w:lineRule="auto"/>
        <w:ind w:left="720" w:right="8"/>
        <w:jc w:val="both"/>
      </w:pPr>
      <w:r w:rsidRPr="00B42351">
        <w:t>Severe peripheral vascular disease resulting in clinically evident desatura</w:t>
      </w:r>
      <w:r>
        <w:t>tion in one or more extremities</w:t>
      </w:r>
      <w:r w:rsidR="00C11814" w:rsidRPr="00C11814">
        <w:t xml:space="preserve"> but in the absence of systemic hypoxemia</w:t>
      </w:r>
      <w:r w:rsidR="0023174D">
        <w:t>;</w:t>
      </w:r>
    </w:p>
    <w:p w14:paraId="0B0DF498" w14:textId="29F612B2" w:rsidR="005212E6" w:rsidRPr="00D973C5" w:rsidRDefault="005212E6" w:rsidP="00014F7C">
      <w:pPr>
        <w:pStyle w:val="ListParagraph"/>
        <w:numPr>
          <w:ilvl w:val="0"/>
          <w:numId w:val="28"/>
        </w:numPr>
        <w:spacing w:after="5" w:line="249" w:lineRule="auto"/>
        <w:ind w:left="720" w:right="8"/>
        <w:jc w:val="both"/>
      </w:pPr>
      <w:r w:rsidRPr="00D973C5">
        <w:t>Shortness of breath or dyspnea in a pediatric patient without evidence of hypoxemia</w:t>
      </w:r>
      <w:r w:rsidR="00093C61" w:rsidRPr="00D973C5">
        <w:t>;</w:t>
      </w:r>
    </w:p>
    <w:p w14:paraId="316D33E7" w14:textId="77777777" w:rsidR="00093C61" w:rsidRDefault="00093C61" w:rsidP="00014F7C">
      <w:pPr>
        <w:pStyle w:val="ListParagraph"/>
        <w:numPr>
          <w:ilvl w:val="0"/>
          <w:numId w:val="28"/>
        </w:numPr>
        <w:spacing w:after="5" w:line="249" w:lineRule="auto"/>
        <w:ind w:left="720" w:right="8"/>
        <w:jc w:val="both"/>
      </w:pPr>
      <w:r>
        <w:t>Terminal illnesses that do not affect the ability to breathe</w:t>
      </w:r>
      <w:r w:rsidR="000443D1">
        <w:t>.</w:t>
      </w:r>
      <w:r w:rsidR="00B16059">
        <w:rPr>
          <w:vertAlign w:val="superscript"/>
        </w:rPr>
        <w:t>1,8</w:t>
      </w:r>
    </w:p>
    <w:p w14:paraId="456CDFBD" w14:textId="77777777" w:rsidR="0061080B" w:rsidRPr="00DF7593" w:rsidRDefault="0061080B" w:rsidP="00014F7C">
      <w:pPr>
        <w:tabs>
          <w:tab w:val="left" w:pos="1530"/>
        </w:tabs>
        <w:jc w:val="both"/>
      </w:pPr>
    </w:p>
    <w:p w14:paraId="7CD01FB0" w14:textId="77777777" w:rsidR="00EE07AE" w:rsidRPr="00B42351" w:rsidRDefault="00EE07AE" w:rsidP="00014F7C">
      <w:pPr>
        <w:pStyle w:val="ListParagraph"/>
        <w:numPr>
          <w:ilvl w:val="0"/>
          <w:numId w:val="11"/>
        </w:numPr>
        <w:tabs>
          <w:tab w:val="left" w:pos="450"/>
        </w:tabs>
        <w:jc w:val="both"/>
      </w:pPr>
      <w:r w:rsidRPr="00F04915">
        <w:rPr>
          <w:bCs/>
          <w:color w:val="000000"/>
        </w:rPr>
        <w:t xml:space="preserve">It is the policy of </w:t>
      </w:r>
      <w:r w:rsidR="003E4855" w:rsidRPr="00F04915">
        <w:rPr>
          <w:bCs/>
          <w:color w:val="000000"/>
        </w:rPr>
        <w:t>Louisiana Healthcare Connections</w:t>
      </w:r>
      <w:r w:rsidRPr="00F04915">
        <w:rPr>
          <w:bCs/>
          <w:color w:val="000000"/>
        </w:rPr>
        <w:t xml:space="preserve"> </w:t>
      </w:r>
      <w:r w:rsidRPr="00CA0D19">
        <w:t xml:space="preserve">that </w:t>
      </w:r>
      <w:r w:rsidR="00396981" w:rsidRPr="00CA0D19">
        <w:t xml:space="preserve">stationary gaseous oxygen systems </w:t>
      </w:r>
      <w:r w:rsidR="00782695" w:rsidRPr="00CA0D19">
        <w:t>(</w:t>
      </w:r>
      <w:r w:rsidR="00D80D1A" w:rsidRPr="00CA0D19">
        <w:t xml:space="preserve">i.e. </w:t>
      </w:r>
      <w:r w:rsidR="00C91BAA" w:rsidRPr="00CA0D19">
        <w:t>cylinder</w:t>
      </w:r>
      <w:r w:rsidR="00D80D1A" w:rsidRPr="00CA0D19">
        <w:t xml:space="preserve"> of liquid or gaseous oxygen) </w:t>
      </w:r>
      <w:r w:rsidR="00396981" w:rsidRPr="00CA0D19">
        <w:t xml:space="preserve">and related </w:t>
      </w:r>
      <w:r w:rsidR="00C91BAA" w:rsidRPr="00CA0D19">
        <w:t xml:space="preserve">delivery equipment </w:t>
      </w:r>
      <w:r w:rsidRPr="00CA0D19">
        <w:t xml:space="preserve">for </w:t>
      </w:r>
      <w:r w:rsidR="00396981" w:rsidRPr="00CA0D19">
        <w:t xml:space="preserve">the treatment of </w:t>
      </w:r>
      <w:r w:rsidR="00C476A7" w:rsidRPr="00154FDA">
        <w:t>cluster headaches</w:t>
      </w:r>
      <w:r w:rsidRPr="00154FDA">
        <w:t xml:space="preserve"> are</w:t>
      </w:r>
      <w:r w:rsidRPr="00B42351">
        <w:t xml:space="preserve"> </w:t>
      </w:r>
      <w:r w:rsidRPr="00F04915">
        <w:rPr>
          <w:b/>
        </w:rPr>
        <w:t>medically necessary</w:t>
      </w:r>
      <w:r w:rsidRPr="002F70D8">
        <w:t xml:space="preserve"> </w:t>
      </w:r>
      <w:r w:rsidR="00396981" w:rsidRPr="002F70D8">
        <w:t>when meeting the following</w:t>
      </w:r>
      <w:r w:rsidRPr="002F70D8">
        <w:t>:</w:t>
      </w:r>
    </w:p>
    <w:p w14:paraId="575C8E75" w14:textId="566767E4" w:rsidR="00F1552A" w:rsidRDefault="00396981" w:rsidP="00014F7C">
      <w:pPr>
        <w:pStyle w:val="ListParagraph"/>
        <w:numPr>
          <w:ilvl w:val="0"/>
          <w:numId w:val="30"/>
        </w:numPr>
        <w:tabs>
          <w:tab w:val="left" w:pos="1530"/>
        </w:tabs>
        <w:jc w:val="both"/>
      </w:pPr>
      <w:bookmarkStart w:id="1" w:name="_Hlk90463437"/>
      <w:r>
        <w:t>Diagnosis of cluster headache</w:t>
      </w:r>
      <w:r w:rsidR="00F1552A">
        <w:t xml:space="preserve"> as evidenced by </w:t>
      </w:r>
      <w:r w:rsidR="00B44AB5">
        <w:t>all</w:t>
      </w:r>
      <w:r w:rsidR="00F1552A">
        <w:t xml:space="preserve"> of the following</w:t>
      </w:r>
      <w:r w:rsidR="00394739">
        <w:rPr>
          <w:vertAlign w:val="superscript"/>
        </w:rPr>
        <w:t>7,</w:t>
      </w:r>
      <w:r w:rsidR="0041461B">
        <w:rPr>
          <w:vertAlign w:val="superscript"/>
        </w:rPr>
        <w:t>10,11</w:t>
      </w:r>
      <w:r w:rsidR="00464BAA">
        <w:rPr>
          <w:vertAlign w:val="superscript"/>
        </w:rPr>
        <w:t>,12,13</w:t>
      </w:r>
      <w:r w:rsidR="00F1552A" w:rsidRPr="009D1F0A">
        <w:t>;</w:t>
      </w:r>
      <w:r w:rsidR="00191D63" w:rsidRPr="009D1F0A">
        <w:t xml:space="preserve"> </w:t>
      </w:r>
    </w:p>
    <w:p w14:paraId="14D21186" w14:textId="209C53C8" w:rsidR="00D17711" w:rsidRDefault="009760CE" w:rsidP="00014F7C">
      <w:pPr>
        <w:pStyle w:val="ListParagraph"/>
        <w:numPr>
          <w:ilvl w:val="2"/>
          <w:numId w:val="30"/>
        </w:numPr>
        <w:tabs>
          <w:tab w:val="left" w:pos="1530"/>
        </w:tabs>
        <w:ind w:left="1080" w:hanging="360"/>
        <w:jc w:val="both"/>
      </w:pPr>
      <w:r>
        <w:t>At least f</w:t>
      </w:r>
      <w:r w:rsidR="0061080B" w:rsidRPr="00DF7593">
        <w:t>ive severe to very severe unilateral headache attacks lasting</w:t>
      </w:r>
      <w:r w:rsidR="004613A6" w:rsidRPr="00DF7593">
        <w:t xml:space="preserve"> 15</w:t>
      </w:r>
      <w:r w:rsidR="007140C1">
        <w:t xml:space="preserve"> to </w:t>
      </w:r>
      <w:r w:rsidR="004613A6" w:rsidRPr="00DF7593">
        <w:t>180 minutes when untreated</w:t>
      </w:r>
      <w:r w:rsidR="00396981">
        <w:t>;</w:t>
      </w:r>
      <w:bookmarkEnd w:id="1"/>
    </w:p>
    <w:p w14:paraId="59F6EE30" w14:textId="77777777" w:rsidR="00D17711" w:rsidRPr="00DF7593" w:rsidRDefault="0061080B" w:rsidP="00014F7C">
      <w:pPr>
        <w:pStyle w:val="ListParagraph"/>
        <w:numPr>
          <w:ilvl w:val="2"/>
          <w:numId w:val="30"/>
        </w:numPr>
        <w:tabs>
          <w:tab w:val="left" w:pos="1530"/>
        </w:tabs>
        <w:ind w:left="1080" w:hanging="360"/>
        <w:jc w:val="both"/>
      </w:pPr>
      <w:r w:rsidRPr="00DF7593">
        <w:t xml:space="preserve">The headaches </w:t>
      </w:r>
      <w:r w:rsidR="00396981">
        <w:t>are</w:t>
      </w:r>
      <w:r w:rsidR="00396981" w:rsidRPr="00DF7593">
        <w:t xml:space="preserve"> </w:t>
      </w:r>
      <w:r w:rsidRPr="00DF7593">
        <w:t>accompanied by at least one of the following:</w:t>
      </w:r>
    </w:p>
    <w:p w14:paraId="711C7D3A" w14:textId="77777777" w:rsidR="00D17711" w:rsidRPr="001E6055" w:rsidRDefault="0061080B" w:rsidP="00014F7C">
      <w:pPr>
        <w:pStyle w:val="ListParagraph"/>
        <w:numPr>
          <w:ilvl w:val="3"/>
          <w:numId w:val="30"/>
        </w:numPr>
        <w:tabs>
          <w:tab w:val="left" w:pos="1530"/>
        </w:tabs>
        <w:ind w:left="1440"/>
        <w:jc w:val="both"/>
        <w:rPr>
          <w:rFonts w:eastAsia="Arial"/>
          <w:color w:val="000000"/>
        </w:rPr>
      </w:pPr>
      <w:r w:rsidRPr="001E6055">
        <w:rPr>
          <w:rFonts w:eastAsia="Arial"/>
          <w:color w:val="000000"/>
        </w:rPr>
        <w:t xml:space="preserve">Ipsilateral conjunctival injection and/or </w:t>
      </w:r>
      <w:r w:rsidR="004613A6" w:rsidRPr="001E6055">
        <w:rPr>
          <w:rFonts w:eastAsia="Arial"/>
          <w:color w:val="000000"/>
        </w:rPr>
        <w:t>lacrimation;</w:t>
      </w:r>
    </w:p>
    <w:p w14:paraId="6CFD1972" w14:textId="77777777" w:rsidR="00D17711" w:rsidRPr="001E6055" w:rsidRDefault="0061080B" w:rsidP="00014F7C">
      <w:pPr>
        <w:pStyle w:val="ListParagraph"/>
        <w:numPr>
          <w:ilvl w:val="3"/>
          <w:numId w:val="30"/>
        </w:numPr>
        <w:tabs>
          <w:tab w:val="left" w:pos="1530"/>
        </w:tabs>
        <w:ind w:left="1440"/>
        <w:jc w:val="both"/>
        <w:rPr>
          <w:rFonts w:eastAsia="Arial"/>
          <w:color w:val="000000"/>
        </w:rPr>
      </w:pPr>
      <w:r w:rsidRPr="001E6055">
        <w:rPr>
          <w:rFonts w:eastAsia="Arial"/>
          <w:color w:val="000000"/>
        </w:rPr>
        <w:t>Ipsilateral nasal c</w:t>
      </w:r>
      <w:r w:rsidR="004613A6" w:rsidRPr="001E6055">
        <w:rPr>
          <w:rFonts w:eastAsia="Arial"/>
          <w:color w:val="000000"/>
        </w:rPr>
        <w:t>ongestion and/or rhinorrhea;</w:t>
      </w:r>
    </w:p>
    <w:p w14:paraId="44C62286" w14:textId="77777777" w:rsidR="00D17711" w:rsidRPr="001E6055" w:rsidRDefault="004613A6" w:rsidP="00014F7C">
      <w:pPr>
        <w:pStyle w:val="ListParagraph"/>
        <w:numPr>
          <w:ilvl w:val="3"/>
          <w:numId w:val="30"/>
        </w:numPr>
        <w:tabs>
          <w:tab w:val="left" w:pos="1530"/>
        </w:tabs>
        <w:ind w:left="1440"/>
        <w:jc w:val="both"/>
        <w:rPr>
          <w:rFonts w:eastAsia="Arial"/>
          <w:color w:val="000000"/>
        </w:rPr>
      </w:pPr>
      <w:r w:rsidRPr="001E6055">
        <w:rPr>
          <w:rFonts w:eastAsia="Arial"/>
          <w:color w:val="000000"/>
        </w:rPr>
        <w:t>Ipsilateral eyelid edema;</w:t>
      </w:r>
    </w:p>
    <w:p w14:paraId="00274F1E" w14:textId="77777777" w:rsidR="00D17711" w:rsidRPr="001E6055" w:rsidRDefault="0061080B" w:rsidP="00014F7C">
      <w:pPr>
        <w:pStyle w:val="ListParagraph"/>
        <w:numPr>
          <w:ilvl w:val="3"/>
          <w:numId w:val="30"/>
        </w:numPr>
        <w:tabs>
          <w:tab w:val="left" w:pos="1530"/>
        </w:tabs>
        <w:ind w:left="1440"/>
        <w:jc w:val="both"/>
        <w:rPr>
          <w:rFonts w:eastAsia="Arial"/>
          <w:color w:val="000000"/>
        </w:rPr>
      </w:pPr>
      <w:r w:rsidRPr="001E6055">
        <w:rPr>
          <w:rFonts w:eastAsia="Arial"/>
          <w:color w:val="000000"/>
        </w:rPr>
        <w:t>Ipsilateral f</w:t>
      </w:r>
      <w:r w:rsidR="004613A6" w:rsidRPr="001E6055">
        <w:rPr>
          <w:rFonts w:eastAsia="Arial"/>
          <w:color w:val="000000"/>
        </w:rPr>
        <w:t xml:space="preserve">orehead and facial </w:t>
      </w:r>
      <w:r w:rsidR="004613A6" w:rsidRPr="00D973C5">
        <w:rPr>
          <w:rFonts w:eastAsia="Arial"/>
          <w:color w:val="000000"/>
        </w:rPr>
        <w:t>sweating</w:t>
      </w:r>
      <w:r w:rsidR="004613A6" w:rsidRPr="00154FDA">
        <w:rPr>
          <w:rFonts w:eastAsia="Arial"/>
          <w:color w:val="000000"/>
        </w:rPr>
        <w:t>;</w:t>
      </w:r>
    </w:p>
    <w:p w14:paraId="7F12DC9B" w14:textId="77777777" w:rsidR="00D17711" w:rsidRPr="001E6055" w:rsidRDefault="0061080B" w:rsidP="00014F7C">
      <w:pPr>
        <w:pStyle w:val="ListParagraph"/>
        <w:numPr>
          <w:ilvl w:val="3"/>
          <w:numId w:val="30"/>
        </w:numPr>
        <w:tabs>
          <w:tab w:val="left" w:pos="1530"/>
        </w:tabs>
        <w:ind w:left="1440"/>
        <w:jc w:val="both"/>
        <w:rPr>
          <w:rFonts w:eastAsia="Arial"/>
          <w:color w:val="000000"/>
        </w:rPr>
      </w:pPr>
      <w:r w:rsidRPr="001E6055">
        <w:rPr>
          <w:rFonts w:eastAsia="Arial"/>
          <w:color w:val="000000"/>
        </w:rPr>
        <w:t>Ipsil</w:t>
      </w:r>
      <w:r w:rsidR="004613A6" w:rsidRPr="001E6055">
        <w:rPr>
          <w:rFonts w:eastAsia="Arial"/>
          <w:color w:val="000000"/>
        </w:rPr>
        <w:t>ateral miosis and/or ptosis;</w:t>
      </w:r>
    </w:p>
    <w:p w14:paraId="11A614AF" w14:textId="2846F680" w:rsidR="0061080B" w:rsidRPr="001E6055" w:rsidRDefault="0061080B" w:rsidP="00014F7C">
      <w:pPr>
        <w:pStyle w:val="ListParagraph"/>
        <w:numPr>
          <w:ilvl w:val="3"/>
          <w:numId w:val="30"/>
        </w:numPr>
        <w:tabs>
          <w:tab w:val="left" w:pos="1530"/>
        </w:tabs>
        <w:ind w:left="1440"/>
        <w:jc w:val="both"/>
        <w:rPr>
          <w:rFonts w:eastAsia="Arial"/>
          <w:color w:val="000000"/>
        </w:rPr>
      </w:pPr>
      <w:r w:rsidRPr="001E6055">
        <w:rPr>
          <w:rFonts w:eastAsia="Arial"/>
          <w:color w:val="000000"/>
        </w:rPr>
        <w:t>A sense of restlessness or agitation</w:t>
      </w:r>
      <w:r w:rsidR="00B44AB5">
        <w:rPr>
          <w:rFonts w:eastAsia="Arial"/>
          <w:color w:val="000000"/>
        </w:rPr>
        <w:t>;</w:t>
      </w:r>
      <w:r w:rsidRPr="001E6055">
        <w:rPr>
          <w:rFonts w:eastAsia="Arial"/>
          <w:color w:val="000000"/>
        </w:rPr>
        <w:t xml:space="preserve"> </w:t>
      </w:r>
    </w:p>
    <w:p w14:paraId="2B742E81" w14:textId="77777777" w:rsidR="00FB139B" w:rsidRDefault="0078659C" w:rsidP="00014F7C">
      <w:pPr>
        <w:pStyle w:val="ListParagraph"/>
        <w:numPr>
          <w:ilvl w:val="2"/>
          <w:numId w:val="30"/>
        </w:numPr>
        <w:tabs>
          <w:tab w:val="left" w:pos="1530"/>
        </w:tabs>
        <w:ind w:left="1080" w:hanging="360"/>
        <w:jc w:val="both"/>
        <w:rPr>
          <w:bCs/>
          <w:color w:val="000000"/>
        </w:rPr>
      </w:pPr>
      <w:r>
        <w:rPr>
          <w:bCs/>
          <w:color w:val="000000"/>
        </w:rPr>
        <w:t xml:space="preserve">Frequency of </w:t>
      </w:r>
      <w:r w:rsidR="0021506E">
        <w:rPr>
          <w:bCs/>
          <w:color w:val="000000"/>
        </w:rPr>
        <w:t>headache attacks occur between one every other day and eight per day</w:t>
      </w:r>
      <w:r w:rsidR="000443D1">
        <w:rPr>
          <w:bCs/>
          <w:color w:val="000000"/>
        </w:rPr>
        <w:t>.</w:t>
      </w:r>
      <w:r w:rsidR="001322D6">
        <w:rPr>
          <w:bCs/>
          <w:color w:val="000000"/>
          <w:vertAlign w:val="superscript"/>
        </w:rPr>
        <w:t>11</w:t>
      </w:r>
    </w:p>
    <w:p w14:paraId="2328D5CB" w14:textId="77777777" w:rsidR="00B44AB5" w:rsidRPr="00B42351" w:rsidRDefault="00B44AB5" w:rsidP="006B1E21">
      <w:pPr>
        <w:pStyle w:val="ListParagraph"/>
        <w:tabs>
          <w:tab w:val="left" w:pos="1530"/>
        </w:tabs>
        <w:ind w:left="1080"/>
        <w:rPr>
          <w:bCs/>
          <w:color w:val="000000"/>
        </w:rPr>
      </w:pPr>
    </w:p>
    <w:p w14:paraId="709E98CC" w14:textId="77777777" w:rsidR="00FB0592" w:rsidRDefault="00FB0592" w:rsidP="00FB0592">
      <w:pPr>
        <w:pStyle w:val="Heading2"/>
        <w:rPr>
          <w:u w:val="none"/>
        </w:rPr>
      </w:pPr>
      <w:r w:rsidRPr="00B42351">
        <w:rPr>
          <w:u w:val="none"/>
        </w:rPr>
        <w:t>Background</w:t>
      </w:r>
    </w:p>
    <w:p w14:paraId="0F58B1F7" w14:textId="77777777" w:rsidR="007116E2" w:rsidRPr="00C32BFE" w:rsidRDefault="00386A9F" w:rsidP="007116E2">
      <w:pPr>
        <w:autoSpaceDE w:val="0"/>
        <w:autoSpaceDN w:val="0"/>
        <w:adjustRightInd w:val="0"/>
      </w:pPr>
      <w:r>
        <w:t>O</w:t>
      </w:r>
      <w:r w:rsidR="009E3C88">
        <w:t>xygenation i</w:t>
      </w:r>
      <w:r w:rsidR="007116E2" w:rsidRPr="00C32BFE">
        <w:t>s the process of oxygen diffusing passively from the alveolus to the pulmonary capillary, where it binds to hemoglobin in red blood cells or dissolves into the plasma.</w:t>
      </w:r>
      <w:r>
        <w:rPr>
          <w:vertAlign w:val="superscript"/>
        </w:rPr>
        <w:t>2</w:t>
      </w:r>
      <w:r w:rsidR="007116E2" w:rsidRPr="00C32BFE">
        <w:t xml:space="preserve"> A low partial pressure of oxygen in the blood is termed hypoxemia. Hypoxemia can have multiple causes including hypoventilation, ventilation-perfusion (V/Q) mismatch, right-to-left shunts, diffusion limitation, and reduced inspired oxygen tension. Common tests to determine if oxygenation is impaired and at risk of being insufficient include arterial oxygen saturation (SaO</w:t>
      </w:r>
      <w:r w:rsidR="007116E2" w:rsidRPr="006B1E21">
        <w:rPr>
          <w:vertAlign w:val="subscript"/>
        </w:rPr>
        <w:t>2</w:t>
      </w:r>
      <w:r w:rsidR="007116E2" w:rsidRPr="00C32BFE">
        <w:t>), arterial oxygen tension (PaO</w:t>
      </w:r>
      <w:r w:rsidR="007116E2" w:rsidRPr="006B1E21">
        <w:rPr>
          <w:vertAlign w:val="subscript"/>
        </w:rPr>
        <w:t>2</w:t>
      </w:r>
      <w:r w:rsidR="007116E2" w:rsidRPr="00C32BFE">
        <w:t>), alveolar to arterial (A-a) oxygen gradient, and the PaO</w:t>
      </w:r>
      <w:r w:rsidR="007116E2" w:rsidRPr="006B1E21">
        <w:rPr>
          <w:vertAlign w:val="subscript"/>
        </w:rPr>
        <w:t>2</w:t>
      </w:r>
      <w:r w:rsidR="007116E2" w:rsidRPr="00C32BFE">
        <w:t>/fraction of inspired oxygen (FiO</w:t>
      </w:r>
      <w:r w:rsidR="007116E2" w:rsidRPr="006B1E21">
        <w:rPr>
          <w:vertAlign w:val="subscript"/>
        </w:rPr>
        <w:t>2</w:t>
      </w:r>
      <w:r w:rsidR="007116E2" w:rsidRPr="00C32BFE">
        <w:t>) ratio.</w:t>
      </w:r>
      <w:r w:rsidR="007116E2" w:rsidRPr="00C32BFE">
        <w:rPr>
          <w:vertAlign w:val="superscript"/>
        </w:rPr>
        <w:t>2</w:t>
      </w:r>
      <w:r w:rsidR="007116E2" w:rsidRPr="00C32BFE">
        <w:t xml:space="preserve"> </w:t>
      </w:r>
    </w:p>
    <w:p w14:paraId="58AFFAEA" w14:textId="77777777" w:rsidR="007116E2" w:rsidRDefault="007116E2" w:rsidP="00C32BFE"/>
    <w:p w14:paraId="7239C6F6" w14:textId="4181A8F6" w:rsidR="007116E2" w:rsidRPr="00C32BFE" w:rsidRDefault="00CC360B" w:rsidP="00C32BFE">
      <w:pPr>
        <w:rPr>
          <w:vertAlign w:val="superscript"/>
        </w:rPr>
      </w:pPr>
      <w:r>
        <w:t xml:space="preserve">Indications for continuous long-term oxygen therapy (LTOT) </w:t>
      </w:r>
      <w:r w:rsidR="00F874B1">
        <w:t>for those with chronic lung disease include</w:t>
      </w:r>
      <w:r w:rsidR="00762DF5">
        <w:rPr>
          <w:vertAlign w:val="superscript"/>
        </w:rPr>
        <w:t>3</w:t>
      </w:r>
      <w:r w:rsidR="00F874B1">
        <w:t>:</w:t>
      </w:r>
    </w:p>
    <w:p w14:paraId="2D92B10C" w14:textId="77777777" w:rsidR="00F80D3E" w:rsidRPr="00C32BFE" w:rsidRDefault="00F80D3E" w:rsidP="00C32BFE">
      <w:pPr>
        <w:pStyle w:val="ListParagraph"/>
        <w:numPr>
          <w:ilvl w:val="0"/>
          <w:numId w:val="49"/>
        </w:numPr>
        <w:autoSpaceDE w:val="0"/>
        <w:autoSpaceDN w:val="0"/>
        <w:adjustRightInd w:val="0"/>
      </w:pPr>
      <w:bookmarkStart w:id="2" w:name="Coding_Implications"/>
      <w:r w:rsidRPr="00C32BFE">
        <w:lastRenderedPageBreak/>
        <w:t>Resting arterial oxygen tension (PaO</w:t>
      </w:r>
      <w:r w:rsidRPr="006B1E21">
        <w:rPr>
          <w:vertAlign w:val="subscript"/>
        </w:rPr>
        <w:t>2</w:t>
      </w:r>
      <w:r w:rsidRPr="00C32BFE">
        <w:t>) less than or equal to 55 mmHg (7.32 kPa), or a pulse oxygen saturation (SpO</w:t>
      </w:r>
      <w:r w:rsidRPr="006B1E21">
        <w:rPr>
          <w:vertAlign w:val="subscript"/>
        </w:rPr>
        <w:t>2</w:t>
      </w:r>
      <w:r w:rsidRPr="00C32BFE">
        <w:t>) less than or equal to 88 percent</w:t>
      </w:r>
      <w:r w:rsidR="00F874B1" w:rsidRPr="00C32BFE">
        <w:t>;</w:t>
      </w:r>
    </w:p>
    <w:p w14:paraId="6F9EDF91" w14:textId="77777777" w:rsidR="00F80D3E" w:rsidRPr="00F874B1" w:rsidRDefault="00F80D3E" w:rsidP="00C32BFE">
      <w:pPr>
        <w:pStyle w:val="ListParagraph"/>
        <w:numPr>
          <w:ilvl w:val="0"/>
          <w:numId w:val="49"/>
        </w:numPr>
        <w:autoSpaceDE w:val="0"/>
        <w:autoSpaceDN w:val="0"/>
        <w:adjustRightInd w:val="0"/>
      </w:pPr>
      <w:r w:rsidRPr="00F874B1">
        <w:t>PaO</w:t>
      </w:r>
      <w:r w:rsidRPr="006B1E21">
        <w:rPr>
          <w:vertAlign w:val="subscript"/>
        </w:rPr>
        <w:t>2</w:t>
      </w:r>
      <w:r w:rsidRPr="00F874B1">
        <w:t xml:space="preserve"> less than or equal to 59 mmHg (7.85 kPa), or an SpO</w:t>
      </w:r>
      <w:r w:rsidRPr="006B1E21">
        <w:rPr>
          <w:vertAlign w:val="subscript"/>
        </w:rPr>
        <w:t>2</w:t>
      </w:r>
      <w:r w:rsidRPr="00F874B1">
        <w:t xml:space="preserve"> less than or equal to 89 percent, if there is evidence of cor pulmonale, right heart failure, or erythrocytosis (hematocrit &gt;55 percent)</w:t>
      </w:r>
      <w:r w:rsidR="00F874B1" w:rsidRPr="00C32BFE">
        <w:t>;</w:t>
      </w:r>
    </w:p>
    <w:p w14:paraId="3CF39F15" w14:textId="77777777" w:rsidR="00F80D3E" w:rsidRPr="00C32BFE" w:rsidRDefault="00F80D3E" w:rsidP="00C32BFE">
      <w:pPr>
        <w:pStyle w:val="ListParagraph"/>
        <w:numPr>
          <w:ilvl w:val="0"/>
          <w:numId w:val="49"/>
        </w:numPr>
        <w:autoSpaceDE w:val="0"/>
        <w:autoSpaceDN w:val="0"/>
        <w:adjustRightInd w:val="0"/>
      </w:pPr>
      <w:r w:rsidRPr="00F874B1">
        <w:t>PaO</w:t>
      </w:r>
      <w:r w:rsidRPr="006B1E21">
        <w:rPr>
          <w:vertAlign w:val="subscript"/>
        </w:rPr>
        <w:t>2</w:t>
      </w:r>
      <w:r w:rsidRPr="00F874B1">
        <w:t xml:space="preserve"> of 5</w:t>
      </w:r>
      <w:r w:rsidR="00D17711">
        <w:t>5</w:t>
      </w:r>
      <w:r w:rsidRPr="00F874B1">
        <w:t xml:space="preserve"> mmHg (7.</w:t>
      </w:r>
      <w:r w:rsidR="00D17711">
        <w:t>32</w:t>
      </w:r>
      <w:r w:rsidRPr="00F874B1">
        <w:t xml:space="preserve"> kPa) or lower, or an SpO</w:t>
      </w:r>
      <w:r w:rsidRPr="006B1E21">
        <w:rPr>
          <w:vertAlign w:val="subscript"/>
        </w:rPr>
        <w:t>2</w:t>
      </w:r>
      <w:r w:rsidRPr="00F874B1">
        <w:t xml:space="preserve"> of 88 percent or </w:t>
      </w:r>
      <w:r w:rsidR="00122BA5">
        <w:t>lower, during exercise or sleep.</w:t>
      </w:r>
    </w:p>
    <w:p w14:paraId="692AC790" w14:textId="77777777" w:rsidR="00F874B1" w:rsidRPr="00C32BFE" w:rsidRDefault="00F874B1" w:rsidP="00C32BFE">
      <w:pPr>
        <w:pStyle w:val="ListParagraph"/>
        <w:autoSpaceDE w:val="0"/>
        <w:autoSpaceDN w:val="0"/>
        <w:adjustRightInd w:val="0"/>
        <w:rPr>
          <w:color w:val="FF0000"/>
        </w:rPr>
      </w:pPr>
    </w:p>
    <w:p w14:paraId="2936BE79" w14:textId="263BCAF9" w:rsidR="00F80D3E" w:rsidRPr="00C32BFE" w:rsidRDefault="00A2002A" w:rsidP="00F80D3E">
      <w:pPr>
        <w:autoSpaceDE w:val="0"/>
        <w:autoSpaceDN w:val="0"/>
        <w:adjustRightInd w:val="0"/>
        <w:rPr>
          <w:vertAlign w:val="superscript"/>
        </w:rPr>
      </w:pPr>
      <w:r w:rsidRPr="00C32BFE">
        <w:t>Prescribed</w:t>
      </w:r>
      <w:r w:rsidR="00122BA5">
        <w:t xml:space="preserve"> oxygen</w:t>
      </w:r>
      <w:r w:rsidRPr="00C32BFE">
        <w:t xml:space="preserve"> f</w:t>
      </w:r>
      <w:r w:rsidR="00F87848">
        <w:t>low rates may vary throughout the day</w:t>
      </w:r>
      <w:r w:rsidRPr="00C32BFE">
        <w:t xml:space="preserve"> with activity</w:t>
      </w:r>
      <w:r w:rsidR="00122BA5">
        <w:t xml:space="preserve"> or sleep or</w:t>
      </w:r>
      <w:r w:rsidR="00F80D3E" w:rsidRPr="00C32BFE">
        <w:t xml:space="preserve"> during acute </w:t>
      </w:r>
      <w:r w:rsidR="00122BA5">
        <w:t>exacerbations of</w:t>
      </w:r>
      <w:r w:rsidR="00F80D3E" w:rsidRPr="00C32BFE">
        <w:t xml:space="preserve"> disease.</w:t>
      </w:r>
      <w:r w:rsidRPr="00C32BFE">
        <w:t xml:space="preserve"> </w:t>
      </w:r>
      <w:r w:rsidR="00F80D3E" w:rsidRPr="00C32BFE">
        <w:t xml:space="preserve">For patients with nocturnal oxygen desaturation, clinical evaluation for sleep-disordered breathing </w:t>
      </w:r>
      <w:r w:rsidR="00FF119A">
        <w:t>utilizing</w:t>
      </w:r>
      <w:r w:rsidR="00FF119A" w:rsidRPr="00C32BFE">
        <w:t xml:space="preserve"> </w:t>
      </w:r>
      <w:r w:rsidR="00F80D3E" w:rsidRPr="00C32BFE">
        <w:t>polysomnography are often appropriate.</w:t>
      </w:r>
      <w:r w:rsidR="00322D25">
        <w:rPr>
          <w:vertAlign w:val="superscript"/>
        </w:rPr>
        <w:t>3</w:t>
      </w:r>
      <w:r w:rsidRPr="00C32BFE">
        <w:t xml:space="preserve"> </w:t>
      </w:r>
    </w:p>
    <w:p w14:paraId="3435F5A9" w14:textId="77777777" w:rsidR="00F80D3E" w:rsidRDefault="00F80D3E" w:rsidP="00BB0E78">
      <w:pPr>
        <w:autoSpaceDE w:val="0"/>
        <w:autoSpaceDN w:val="0"/>
        <w:adjustRightInd w:val="0"/>
      </w:pPr>
    </w:p>
    <w:p w14:paraId="151E15BC" w14:textId="77777777" w:rsidR="00472D36" w:rsidRDefault="007116E2" w:rsidP="007116E2">
      <w:pPr>
        <w:autoSpaceDE w:val="0"/>
        <w:autoSpaceDN w:val="0"/>
        <w:adjustRightInd w:val="0"/>
        <w:rPr>
          <w:i/>
        </w:rPr>
      </w:pPr>
      <w:r>
        <w:rPr>
          <w:i/>
        </w:rPr>
        <w:t xml:space="preserve">The </w:t>
      </w:r>
      <w:r w:rsidRPr="00C32BFE">
        <w:rPr>
          <w:i/>
        </w:rPr>
        <w:t>American Association for Respiratory Care</w:t>
      </w:r>
    </w:p>
    <w:p w14:paraId="3E348FC2" w14:textId="74D3ED61" w:rsidR="007116E2" w:rsidRPr="00C32BFE" w:rsidRDefault="007116E2" w:rsidP="007116E2">
      <w:pPr>
        <w:autoSpaceDE w:val="0"/>
        <w:autoSpaceDN w:val="0"/>
        <w:adjustRightInd w:val="0"/>
        <w:rPr>
          <w:vertAlign w:val="superscript"/>
        </w:rPr>
      </w:pPr>
      <w:r w:rsidRPr="00B42351">
        <w:t xml:space="preserve">According to the American Association for Respiratory Care </w:t>
      </w:r>
      <w:r w:rsidRPr="001E6055">
        <w:t>LTOT</w:t>
      </w:r>
      <w:r w:rsidRPr="00B42351">
        <w:t xml:space="preserve"> in the home or altern</w:t>
      </w:r>
      <w:r w:rsidR="00F87848">
        <w:t>ate site health care facility</w:t>
      </w:r>
      <w:r w:rsidRPr="00B42351">
        <w:t xml:space="preserve"> </w:t>
      </w:r>
      <w:r w:rsidR="00CE423D">
        <w:t xml:space="preserve">is </w:t>
      </w:r>
      <w:r w:rsidRPr="00B42351">
        <w:t>normally indicated for the treatment of hypoxemia</w:t>
      </w:r>
      <w:r w:rsidR="00F874B1">
        <w:t xml:space="preserve"> and </w:t>
      </w:r>
      <w:r w:rsidRPr="00B42351">
        <w:t>has been shown to have a significant positive impact on hypoxemic patients with chronic obstr</w:t>
      </w:r>
      <w:r w:rsidR="00F874B1">
        <w:t>uctive pulmonary disease (COPD)</w:t>
      </w:r>
      <w:r w:rsidR="003012A3">
        <w:t xml:space="preserve">. LTOT has also been shown </w:t>
      </w:r>
      <w:r w:rsidR="004C6773">
        <w:t xml:space="preserve">to </w:t>
      </w:r>
      <w:r>
        <w:t>reduce hospitalizations and lengths of stay. Laboratory indications</w:t>
      </w:r>
      <w:r w:rsidR="00F874B1">
        <w:t xml:space="preserve"> for </w:t>
      </w:r>
      <w:r w:rsidR="00F874B1" w:rsidRPr="001E6055">
        <w:t>LTOT</w:t>
      </w:r>
      <w:r w:rsidR="00F874B1">
        <w:t xml:space="preserve"> include d</w:t>
      </w:r>
      <w:r>
        <w:t>ocumented hypoxemia in adults, children, and infants older than 28 days as evidenced by PaO</w:t>
      </w:r>
      <w:r w:rsidRPr="006B1E21">
        <w:rPr>
          <w:vertAlign w:val="subscript"/>
        </w:rPr>
        <w:t>2</w:t>
      </w:r>
      <w:r>
        <w:t xml:space="preserve"> ≤ 55 mm Hg or SaO</w:t>
      </w:r>
      <w:r w:rsidRPr="006B1E21">
        <w:rPr>
          <w:vertAlign w:val="subscript"/>
        </w:rPr>
        <w:t>2</w:t>
      </w:r>
      <w:r>
        <w:t xml:space="preserve"> ≤ 88% in subjects breathing room air or PaO</w:t>
      </w:r>
      <w:r w:rsidRPr="006B1E21">
        <w:rPr>
          <w:vertAlign w:val="subscript"/>
        </w:rPr>
        <w:t>2</w:t>
      </w:r>
      <w:r>
        <w:t xml:space="preserve"> of 56</w:t>
      </w:r>
      <w:r w:rsidR="00B270E4">
        <w:t xml:space="preserve"> to </w:t>
      </w:r>
      <w:r>
        <w:t>59 mm Hg or SaO</w:t>
      </w:r>
      <w:r w:rsidRPr="006B1E21">
        <w:rPr>
          <w:vertAlign w:val="subscript"/>
        </w:rPr>
        <w:t>2</w:t>
      </w:r>
      <w:r>
        <w:t xml:space="preserve"> or SpO</w:t>
      </w:r>
      <w:r w:rsidRPr="006B1E21">
        <w:rPr>
          <w:vertAlign w:val="subscript"/>
        </w:rPr>
        <w:t>2</w:t>
      </w:r>
      <w:r>
        <w:t xml:space="preserve"> ≤ 89% in association with specific clinical conditions</w:t>
      </w:r>
      <w:r w:rsidR="00F874B1">
        <w:t xml:space="preserve"> such as </w:t>
      </w:r>
      <w:r>
        <w:t>cor pulmonale, congestive heart failure, or erythrocy</w:t>
      </w:r>
      <w:r w:rsidR="00F874B1">
        <w:t>themia with hematocrit &gt; 56.</w:t>
      </w:r>
      <w:r>
        <w:t xml:space="preserve"> Some patients may not demonstrate a </w:t>
      </w:r>
      <w:r w:rsidR="00F874B1">
        <w:t xml:space="preserve">need for oxygen therapy at rest </w:t>
      </w:r>
      <w:r>
        <w:t>but will be hypoxemic during ambulation, sleep, or exercise.</w:t>
      </w:r>
      <w:r w:rsidR="00F874B1">
        <w:t xml:space="preserve"> </w:t>
      </w:r>
      <w:r>
        <w:t>Oxygen therapy is indicated during these specific activities when the SaO</w:t>
      </w:r>
      <w:r w:rsidRPr="006B1E21">
        <w:rPr>
          <w:vertAlign w:val="subscript"/>
        </w:rPr>
        <w:t>2</w:t>
      </w:r>
      <w:r>
        <w:t xml:space="preserve"> is demonstrated to fall to ≤ 88%.</w:t>
      </w:r>
      <w:r w:rsidR="00F87848">
        <w:t xml:space="preserve"> The i</w:t>
      </w:r>
      <w:r>
        <w:t>nitial</w:t>
      </w:r>
      <w:r w:rsidR="00F874B1">
        <w:t xml:space="preserve"> n</w:t>
      </w:r>
      <w:r>
        <w:t xml:space="preserve">eed </w:t>
      </w:r>
      <w:r w:rsidR="00F874B1">
        <w:t xml:space="preserve">for </w:t>
      </w:r>
      <w:r w:rsidR="00F874B1" w:rsidRPr="001E6055">
        <w:t>LTOT</w:t>
      </w:r>
      <w:r w:rsidR="00F874B1">
        <w:t xml:space="preserve"> </w:t>
      </w:r>
      <w:r>
        <w:t xml:space="preserve">is determined by measurement of inadequate </w:t>
      </w:r>
      <w:r w:rsidR="00940DD1">
        <w:t xml:space="preserve">arterial </w:t>
      </w:r>
      <w:r>
        <w:t>blood oxygen tensions</w:t>
      </w:r>
      <w:r w:rsidR="00F874B1">
        <w:t xml:space="preserve"> </w:t>
      </w:r>
      <w:r>
        <w:t>and/or saturations and/or the presence of clinical indicators.</w:t>
      </w:r>
      <w:r w:rsidR="00F874B1">
        <w:t xml:space="preserve"> </w:t>
      </w:r>
      <w:r>
        <w:t>Ongoing evaluation or reassessment of arterial blood gas tensions</w:t>
      </w:r>
      <w:r w:rsidR="00F874B1">
        <w:t xml:space="preserve"> </w:t>
      </w:r>
      <w:r>
        <w:t xml:space="preserve">and/or saturations by invasive or noninvasive methods may be indicated whenever there is a change in clinical status that </w:t>
      </w:r>
      <w:r w:rsidR="00F874B1">
        <w:t>may be cardiopulmonary related.</w:t>
      </w:r>
      <w:r w:rsidR="00F874B1">
        <w:rPr>
          <w:vertAlign w:val="superscript"/>
        </w:rPr>
        <w:t>1</w:t>
      </w:r>
    </w:p>
    <w:p w14:paraId="017BE3BE" w14:textId="77777777" w:rsidR="007116E2" w:rsidRDefault="007116E2" w:rsidP="00BB0E78">
      <w:pPr>
        <w:autoSpaceDE w:val="0"/>
        <w:autoSpaceDN w:val="0"/>
        <w:adjustRightInd w:val="0"/>
      </w:pPr>
    </w:p>
    <w:p w14:paraId="08DC9079" w14:textId="77777777" w:rsidR="00576974" w:rsidRPr="00C32BFE" w:rsidRDefault="00F874B1" w:rsidP="00BB0E78">
      <w:pPr>
        <w:autoSpaceDE w:val="0"/>
        <w:autoSpaceDN w:val="0"/>
        <w:adjustRightInd w:val="0"/>
        <w:rPr>
          <w:i/>
        </w:rPr>
      </w:pPr>
      <w:r>
        <w:rPr>
          <w:i/>
        </w:rPr>
        <w:t>The</w:t>
      </w:r>
      <w:r w:rsidR="00304163" w:rsidRPr="00C32BFE">
        <w:rPr>
          <w:i/>
        </w:rPr>
        <w:t xml:space="preserve"> American Thoracic Society</w:t>
      </w:r>
    </w:p>
    <w:p w14:paraId="109F1806" w14:textId="77777777" w:rsidR="00EC51DD" w:rsidRDefault="00CC360B" w:rsidP="00BB0E78">
      <w:pPr>
        <w:autoSpaceDE w:val="0"/>
        <w:autoSpaceDN w:val="0"/>
        <w:adjustRightInd w:val="0"/>
      </w:pPr>
      <w:r>
        <w:t>Per</w:t>
      </w:r>
      <w:r w:rsidR="00EC51DD" w:rsidRPr="00F80D3E">
        <w:t xml:space="preserve"> the American Thoracic Society Clinical Practice Guidelines for </w:t>
      </w:r>
      <w:r w:rsidR="008E12B0" w:rsidRPr="00F80D3E">
        <w:t>H</w:t>
      </w:r>
      <w:r w:rsidR="00EC51DD" w:rsidRPr="00F80D3E">
        <w:t xml:space="preserve">ome </w:t>
      </w:r>
      <w:r w:rsidR="008E12B0" w:rsidRPr="00F80D3E">
        <w:t>O</w:t>
      </w:r>
      <w:r w:rsidR="00EC51DD" w:rsidRPr="00F80D3E">
        <w:t xml:space="preserve">xygen </w:t>
      </w:r>
      <w:r w:rsidR="008E12B0" w:rsidRPr="00F80D3E">
        <w:t>T</w:t>
      </w:r>
      <w:r w:rsidR="00EC51DD" w:rsidRPr="00F80D3E">
        <w:t>herapy</w:t>
      </w:r>
      <w:r w:rsidR="004C3C67" w:rsidRPr="00F80D3E">
        <w:t xml:space="preserve"> (HOT)</w:t>
      </w:r>
      <w:r w:rsidR="00EC51DD" w:rsidRPr="00F80D3E">
        <w:t xml:space="preserve"> in </w:t>
      </w:r>
      <w:r w:rsidR="008E12B0" w:rsidRPr="00C32BFE">
        <w:t>A</w:t>
      </w:r>
      <w:r w:rsidR="00EC51DD" w:rsidRPr="00F80D3E">
        <w:t>dults</w:t>
      </w:r>
      <w:r w:rsidR="00F20B88" w:rsidRPr="00F80D3E">
        <w:t>,</w:t>
      </w:r>
      <w:r w:rsidR="008E12B0" w:rsidRPr="00F80D3E">
        <w:t xml:space="preserve"> </w:t>
      </w:r>
      <w:r w:rsidR="008E12B0" w:rsidRPr="001E6055">
        <w:t>HOT</w:t>
      </w:r>
      <w:r w:rsidR="008E12B0">
        <w:t xml:space="preserve"> is recommended for the following:</w:t>
      </w:r>
      <w:r w:rsidR="00F874B1">
        <w:rPr>
          <w:vertAlign w:val="superscript"/>
        </w:rPr>
        <w:t>4</w:t>
      </w:r>
    </w:p>
    <w:p w14:paraId="426967A6" w14:textId="77777777" w:rsidR="008E12B0" w:rsidRDefault="00FD125A" w:rsidP="00C32BFE">
      <w:pPr>
        <w:pStyle w:val="ListParagraph"/>
        <w:numPr>
          <w:ilvl w:val="0"/>
          <w:numId w:val="50"/>
        </w:numPr>
        <w:autoSpaceDE w:val="0"/>
        <w:autoSpaceDN w:val="0"/>
        <w:adjustRightInd w:val="0"/>
      </w:pPr>
      <w:r>
        <w:t xml:space="preserve">For patients with severe resting hypoxemia, the prescription of </w:t>
      </w:r>
      <w:r w:rsidR="00F20B88" w:rsidRPr="001E6055">
        <w:t>LTOT</w:t>
      </w:r>
      <w:r>
        <w:t xml:space="preserve"> to improve survival is</w:t>
      </w:r>
      <w:r w:rsidR="00EF205C">
        <w:t xml:space="preserve"> </w:t>
      </w:r>
      <w:r>
        <w:t>supported by historical trials in patients with COPD</w:t>
      </w:r>
      <w:r w:rsidR="00F20B88">
        <w:t>;</w:t>
      </w:r>
      <w:r>
        <w:t xml:space="preserve"> </w:t>
      </w:r>
    </w:p>
    <w:p w14:paraId="60BA15BF" w14:textId="77777777" w:rsidR="003C5ECD" w:rsidRDefault="00FD125A" w:rsidP="00C32BFE">
      <w:pPr>
        <w:pStyle w:val="ListParagraph"/>
        <w:numPr>
          <w:ilvl w:val="0"/>
          <w:numId w:val="50"/>
        </w:numPr>
      </w:pPr>
      <w:r>
        <w:t xml:space="preserve">The </w:t>
      </w:r>
      <w:r w:rsidR="00F20B88">
        <w:t xml:space="preserve">expert </w:t>
      </w:r>
      <w:r>
        <w:t>panel strongly recommends prescribing oxygen for patients with</w:t>
      </w:r>
      <w:r w:rsidR="00F20B88">
        <w:t xml:space="preserve"> interstitial lung disease</w:t>
      </w:r>
      <w:r w:rsidR="00680807">
        <w:t xml:space="preserve"> (ILD)</w:t>
      </w:r>
      <w:r>
        <w:t xml:space="preserve"> with severe resting hypoxemia</w:t>
      </w:r>
      <w:r w:rsidR="00F20B88">
        <w:t>;</w:t>
      </w:r>
    </w:p>
    <w:p w14:paraId="5DE118A7" w14:textId="77777777" w:rsidR="00FD125A" w:rsidRDefault="00BC7AC8" w:rsidP="00C32BFE">
      <w:pPr>
        <w:pStyle w:val="ListParagraph"/>
        <w:numPr>
          <w:ilvl w:val="0"/>
          <w:numId w:val="50"/>
        </w:numPr>
      </w:pPr>
      <w:r>
        <w:t xml:space="preserve">Existing evidence and panel consensus suggest not prescribing </w:t>
      </w:r>
      <w:r w:rsidRPr="001E6055">
        <w:t>LTOT</w:t>
      </w:r>
      <w:r>
        <w:t xml:space="preserve"> for patients with COPD with moderate resting hypoxemia;</w:t>
      </w:r>
    </w:p>
    <w:p w14:paraId="1F7B9776" w14:textId="77777777" w:rsidR="00BC7AC8" w:rsidRDefault="00FD125A" w:rsidP="00C32BFE">
      <w:pPr>
        <w:pStyle w:val="ListParagraph"/>
        <w:numPr>
          <w:ilvl w:val="0"/>
          <w:numId w:val="50"/>
        </w:numPr>
        <w:autoSpaceDE w:val="0"/>
        <w:autoSpaceDN w:val="0"/>
        <w:adjustRightInd w:val="0"/>
      </w:pPr>
      <w:r>
        <w:t>This review confirmed scarce and inconclusive data to support the prescription of oxygen in patients who have normoxia at rest but desaturate (sometimes markedly) with exertion</w:t>
      </w:r>
      <w:r w:rsidR="00BC7AC8">
        <w:t>;</w:t>
      </w:r>
    </w:p>
    <w:p w14:paraId="636E46B5" w14:textId="01469CC0" w:rsidR="00680807" w:rsidRDefault="00FD125A" w:rsidP="00C32BFE">
      <w:pPr>
        <w:pStyle w:val="ListParagraph"/>
        <w:numPr>
          <w:ilvl w:val="0"/>
          <w:numId w:val="50"/>
        </w:numPr>
        <w:autoSpaceDE w:val="0"/>
        <w:autoSpaceDN w:val="0"/>
        <w:adjustRightInd w:val="0"/>
      </w:pPr>
      <w:r>
        <w:t xml:space="preserve">Emerging evidence suggests that ambulatory oxygen </w:t>
      </w:r>
      <w:r w:rsidR="00066277">
        <w:t xml:space="preserve">therapy </w:t>
      </w:r>
      <w:r>
        <w:t>may improve</w:t>
      </w:r>
      <w:r w:rsidR="00680807">
        <w:t xml:space="preserve"> health</w:t>
      </w:r>
      <w:r w:rsidR="00CB027A">
        <w:t>-</w:t>
      </w:r>
      <w:r w:rsidR="00680807">
        <w:t>related quality of life</w:t>
      </w:r>
      <w:r>
        <w:t xml:space="preserve"> in patients with ILD in the short term but longer-term data are needed</w:t>
      </w:r>
      <w:r w:rsidR="00BC7AC8">
        <w:t>;</w:t>
      </w:r>
      <w:r>
        <w:t xml:space="preserve"> </w:t>
      </w:r>
    </w:p>
    <w:p w14:paraId="189B7A7A" w14:textId="77777777" w:rsidR="00FD125A" w:rsidRDefault="00680807" w:rsidP="00C32BFE">
      <w:pPr>
        <w:pStyle w:val="ListParagraph"/>
        <w:numPr>
          <w:ilvl w:val="0"/>
          <w:numId w:val="50"/>
        </w:numPr>
        <w:autoSpaceDE w:val="0"/>
        <w:autoSpaceDN w:val="0"/>
        <w:adjustRightInd w:val="0"/>
      </w:pPr>
      <w:r>
        <w:t xml:space="preserve">The </w:t>
      </w:r>
      <w:r w:rsidR="00FD125A">
        <w:t xml:space="preserve">panel unanimously agreed that </w:t>
      </w:r>
      <w:r>
        <w:t>liquid oxygen (</w:t>
      </w:r>
      <w:r w:rsidR="00FD125A">
        <w:t>LOX</w:t>
      </w:r>
      <w:r>
        <w:t>)</w:t>
      </w:r>
      <w:r w:rsidR="00FD125A">
        <w:t xml:space="preserve"> should be offered to active patients on high-flow oxygen</w:t>
      </w:r>
      <w:r w:rsidR="00BC7AC8">
        <w:t>;</w:t>
      </w:r>
    </w:p>
    <w:p w14:paraId="1FB6634E" w14:textId="77777777" w:rsidR="00FD125A" w:rsidRDefault="00FD125A" w:rsidP="00C32BFE">
      <w:pPr>
        <w:pStyle w:val="ListParagraph"/>
        <w:numPr>
          <w:ilvl w:val="0"/>
          <w:numId w:val="48"/>
        </w:numPr>
        <w:autoSpaceDE w:val="0"/>
        <w:autoSpaceDN w:val="0"/>
        <w:adjustRightInd w:val="0"/>
      </w:pPr>
      <w:r>
        <w:lastRenderedPageBreak/>
        <w:t>Finally, the minimal standard of care for all patients receiving home oxygen therapy must include education and training related to their oxygen equipment, oxygen safety, and self</w:t>
      </w:r>
      <w:r w:rsidR="00680807">
        <w:t>-</w:t>
      </w:r>
      <w:r>
        <w:t>management.</w:t>
      </w:r>
    </w:p>
    <w:p w14:paraId="330C57AA" w14:textId="77777777" w:rsidR="00F80D3E" w:rsidRDefault="00F80D3E" w:rsidP="00BB0E78">
      <w:pPr>
        <w:autoSpaceDE w:val="0"/>
        <w:autoSpaceDN w:val="0"/>
        <w:adjustRightInd w:val="0"/>
      </w:pPr>
    </w:p>
    <w:p w14:paraId="7B8BF4AA" w14:textId="0CF824A1" w:rsidR="00F12E62" w:rsidRPr="00C32BFE" w:rsidRDefault="00F12E62" w:rsidP="00F12E62">
      <w:pPr>
        <w:autoSpaceDE w:val="0"/>
        <w:autoSpaceDN w:val="0"/>
        <w:adjustRightInd w:val="0"/>
        <w:rPr>
          <w:vertAlign w:val="superscript"/>
        </w:rPr>
      </w:pPr>
      <w:r>
        <w:t>T</w:t>
      </w:r>
      <w:r w:rsidR="004C3C67">
        <w:t>he</w:t>
      </w:r>
      <w:r w:rsidR="00EC51DD">
        <w:t xml:space="preserve"> American Thoracic Society Clinical Practice Guidelines for </w:t>
      </w:r>
      <w:r w:rsidR="0029760B">
        <w:t>Home Oxygen Therapy i</w:t>
      </w:r>
      <w:r w:rsidR="008E12B0">
        <w:t xml:space="preserve">n </w:t>
      </w:r>
      <w:r w:rsidR="008E12B0" w:rsidRPr="00C32BFE">
        <w:t>Children</w:t>
      </w:r>
      <w:r>
        <w:t xml:space="preserve"> states that</w:t>
      </w:r>
      <w:r w:rsidR="0044791F">
        <w:t>,</w:t>
      </w:r>
      <w:r>
        <w:t xml:space="preserve"> despite widespread use of home oxygen therapy </w:t>
      </w:r>
      <w:r w:rsidRPr="001E6055">
        <w:t>(HOT)</w:t>
      </w:r>
      <w:r>
        <w:t xml:space="preserve"> in children for various lung and pulmonary vascular diseases, there is a striking paucity of data regarding its implementation, efficacy, monitoring, and discontinuation. With limited evidence, the panel provides recommendations based on expert opinion and experiences associated with </w:t>
      </w:r>
      <w:r w:rsidR="00F118D0">
        <w:t>patient-</w:t>
      </w:r>
      <w:r>
        <w:t>important outcomes</w:t>
      </w:r>
      <w:r w:rsidR="001643CB">
        <w:t>,</w:t>
      </w:r>
      <w:r>
        <w:t xml:space="preserve"> </w:t>
      </w:r>
      <w:r w:rsidR="007D4B4B">
        <w:t xml:space="preserve">which </w:t>
      </w:r>
      <w:r>
        <w:t xml:space="preserve">will aid clinicians in the management of complex pediatric patients requiring </w:t>
      </w:r>
      <w:r w:rsidRPr="001E6055">
        <w:t>HOT</w:t>
      </w:r>
      <w:r>
        <w:t>.</w:t>
      </w:r>
      <w:r w:rsidR="00F874B1">
        <w:rPr>
          <w:vertAlign w:val="superscript"/>
        </w:rPr>
        <w:t>5</w:t>
      </w:r>
    </w:p>
    <w:p w14:paraId="43360AC7" w14:textId="77777777" w:rsidR="00F12E62" w:rsidRDefault="00F12E62" w:rsidP="00EC51DD">
      <w:pPr>
        <w:autoSpaceDE w:val="0"/>
        <w:autoSpaceDN w:val="0"/>
        <w:adjustRightInd w:val="0"/>
      </w:pPr>
    </w:p>
    <w:p w14:paraId="0B48593A" w14:textId="2E3855CA" w:rsidR="004C3C67" w:rsidRPr="00F77243" w:rsidRDefault="004C3C67" w:rsidP="00EC51DD">
      <w:pPr>
        <w:autoSpaceDE w:val="0"/>
        <w:autoSpaceDN w:val="0"/>
        <w:adjustRightInd w:val="0"/>
        <w:rPr>
          <w:vertAlign w:val="superscript"/>
        </w:rPr>
      </w:pPr>
      <w:r w:rsidRPr="001E6055">
        <w:t>HOT</w:t>
      </w:r>
      <w:r w:rsidR="008B3E77">
        <w:t xml:space="preserve"> for </w:t>
      </w:r>
      <w:r w:rsidR="008B3E77" w:rsidRPr="00F77243">
        <w:t>children</w:t>
      </w:r>
      <w:r w:rsidRPr="00F77243">
        <w:t xml:space="preserve"> is recommended for the following</w:t>
      </w:r>
      <w:r w:rsidR="008B3E77" w:rsidRPr="00F77243">
        <w:t xml:space="preserve"> situations</w:t>
      </w:r>
      <w:r w:rsidR="00AA5F3A">
        <w:rPr>
          <w:vertAlign w:val="superscript"/>
        </w:rPr>
        <w:t>5</w:t>
      </w:r>
      <w:r w:rsidRPr="00F77243">
        <w:t>:</w:t>
      </w:r>
    </w:p>
    <w:p w14:paraId="7193ACE1" w14:textId="42400042" w:rsidR="004C3C67" w:rsidRPr="00F77243" w:rsidRDefault="005F1CA9" w:rsidP="00C32BFE">
      <w:pPr>
        <w:pStyle w:val="ListParagraph"/>
        <w:numPr>
          <w:ilvl w:val="0"/>
          <w:numId w:val="48"/>
        </w:numPr>
        <w:autoSpaceDE w:val="0"/>
        <w:autoSpaceDN w:val="0"/>
        <w:adjustRightInd w:val="0"/>
      </w:pPr>
      <w:r w:rsidRPr="00F77243">
        <w:t>C</w:t>
      </w:r>
      <w:r w:rsidR="004C3C67" w:rsidRPr="00F77243">
        <w:t>ystic fibrosis complicated by severe chronic hypoxemia</w:t>
      </w:r>
      <w:r w:rsidR="00915C2D" w:rsidRPr="00F77243">
        <w:t xml:space="preserve"> (strong recommendation, very low-quality evidence)</w:t>
      </w:r>
      <w:r w:rsidR="004C3C67" w:rsidRPr="00F77243">
        <w:t>;</w:t>
      </w:r>
    </w:p>
    <w:p w14:paraId="495C3763" w14:textId="2C56CC51" w:rsidR="004C3C67" w:rsidRPr="00F77243" w:rsidRDefault="005F1CA9" w:rsidP="00C32BFE">
      <w:pPr>
        <w:pStyle w:val="ListParagraph"/>
        <w:numPr>
          <w:ilvl w:val="0"/>
          <w:numId w:val="48"/>
        </w:numPr>
        <w:autoSpaceDE w:val="0"/>
        <w:autoSpaceDN w:val="0"/>
        <w:adjustRightInd w:val="0"/>
      </w:pPr>
      <w:r w:rsidRPr="00F77243">
        <w:t>C</w:t>
      </w:r>
      <w:r w:rsidR="004C3C67" w:rsidRPr="00F77243">
        <w:t xml:space="preserve">ystic fibrosis </w:t>
      </w:r>
      <w:r w:rsidR="00906304" w:rsidRPr="00F77243">
        <w:t xml:space="preserve">patients </w:t>
      </w:r>
      <w:r w:rsidR="004C3C67" w:rsidRPr="00F77243">
        <w:t>who have both mild chronic hypoxemia and dyspnea on exertion</w:t>
      </w:r>
      <w:r w:rsidR="00861991" w:rsidRPr="00F77243">
        <w:t xml:space="preserve"> (conditional recommendation, very low-quality evidence)</w:t>
      </w:r>
      <w:r w:rsidR="004C3C67" w:rsidRPr="00F77243">
        <w:t>;</w:t>
      </w:r>
      <w:r w:rsidR="00861991" w:rsidRPr="00F77243">
        <w:t xml:space="preserve"> </w:t>
      </w:r>
    </w:p>
    <w:p w14:paraId="71C5B059" w14:textId="18E9039D" w:rsidR="004C3C67" w:rsidRPr="00F77243" w:rsidRDefault="005F1CA9" w:rsidP="00C32BFE">
      <w:pPr>
        <w:pStyle w:val="ListParagraph"/>
        <w:numPr>
          <w:ilvl w:val="0"/>
          <w:numId w:val="48"/>
        </w:numPr>
        <w:autoSpaceDE w:val="0"/>
        <w:autoSpaceDN w:val="0"/>
        <w:adjustRightInd w:val="0"/>
      </w:pPr>
      <w:r w:rsidRPr="00F77243">
        <w:t>B</w:t>
      </w:r>
      <w:r w:rsidR="004C3C67" w:rsidRPr="00F77243">
        <w:t>ronchopulmonary dysplasia complicated by chronic hypoxemia</w:t>
      </w:r>
      <w:r w:rsidR="002A55A3" w:rsidRPr="00270842">
        <w:t xml:space="preserve"> </w:t>
      </w:r>
      <w:r w:rsidR="002A55A3" w:rsidRPr="00F77243">
        <w:t>(strong recommendation, very low-quality evidence)</w:t>
      </w:r>
      <w:r w:rsidR="00FC4FD5" w:rsidRPr="00F77243">
        <w:t>;</w:t>
      </w:r>
    </w:p>
    <w:p w14:paraId="480B28F0" w14:textId="2CBF0CDD" w:rsidR="004C3C67" w:rsidRPr="00F77243" w:rsidRDefault="005F1CA9" w:rsidP="00C32BFE">
      <w:pPr>
        <w:pStyle w:val="ListParagraph"/>
        <w:numPr>
          <w:ilvl w:val="0"/>
          <w:numId w:val="48"/>
        </w:numPr>
        <w:autoSpaceDE w:val="0"/>
        <w:autoSpaceDN w:val="0"/>
        <w:adjustRightInd w:val="0"/>
      </w:pPr>
      <w:r w:rsidRPr="00F77243">
        <w:t>S</w:t>
      </w:r>
      <w:r w:rsidR="004C3C67" w:rsidRPr="00F77243">
        <w:t xml:space="preserve">leep-disordered breathing complicated by severe nocturnal hypoxemia </w:t>
      </w:r>
      <w:r w:rsidR="00FC4FD5" w:rsidRPr="00F77243">
        <w:t xml:space="preserve">in those </w:t>
      </w:r>
      <w:r w:rsidR="004C3C67" w:rsidRPr="00F77243">
        <w:t xml:space="preserve">who cannot tolerate positive airway pressure therapy or are awaiting surgical treatment of </w:t>
      </w:r>
      <w:r w:rsidR="00FC38AA" w:rsidRPr="00F77243">
        <w:t>sleep-</w:t>
      </w:r>
      <w:r w:rsidR="004C3C67" w:rsidRPr="00F77243">
        <w:t>disordered breathing</w:t>
      </w:r>
      <w:r w:rsidR="00635A85" w:rsidRPr="00F77243">
        <w:t xml:space="preserve"> (conditional recommendation, very low-quality evidence)</w:t>
      </w:r>
      <w:r w:rsidR="004C3C67" w:rsidRPr="00F77243">
        <w:t>;</w:t>
      </w:r>
    </w:p>
    <w:p w14:paraId="6F2E5A86" w14:textId="385D4F54" w:rsidR="004C3C67" w:rsidRPr="00F77243" w:rsidRDefault="005F1CA9" w:rsidP="00C32BFE">
      <w:pPr>
        <w:pStyle w:val="ListParagraph"/>
        <w:numPr>
          <w:ilvl w:val="0"/>
          <w:numId w:val="48"/>
        </w:numPr>
        <w:autoSpaceDE w:val="0"/>
        <w:autoSpaceDN w:val="0"/>
        <w:adjustRightInd w:val="0"/>
      </w:pPr>
      <w:r w:rsidRPr="00F77243">
        <w:t>S</w:t>
      </w:r>
      <w:r w:rsidR="004C3C67" w:rsidRPr="00F77243">
        <w:t>ickle cell disease complicated by severe chronic hypoxemia</w:t>
      </w:r>
      <w:r w:rsidR="002F3949" w:rsidRPr="00F77243">
        <w:t xml:space="preserve"> (conditional recommendation, very low-quality evidence)</w:t>
      </w:r>
      <w:r w:rsidR="004C3C67" w:rsidRPr="00F77243">
        <w:t>;</w:t>
      </w:r>
    </w:p>
    <w:p w14:paraId="6053B0A0" w14:textId="507CC0FF" w:rsidR="005F1CA9" w:rsidRDefault="005F1CA9" w:rsidP="00C32BFE">
      <w:pPr>
        <w:pStyle w:val="ListParagraph"/>
        <w:numPr>
          <w:ilvl w:val="0"/>
          <w:numId w:val="48"/>
        </w:numPr>
        <w:autoSpaceDE w:val="0"/>
        <w:autoSpaceDN w:val="0"/>
        <w:adjustRightInd w:val="0"/>
      </w:pPr>
      <w:r w:rsidRPr="00F77243">
        <w:t>P</w:t>
      </w:r>
      <w:r w:rsidR="004C3C67" w:rsidRPr="00F77243">
        <w:t>ulmonary hypertension without congenital heart disease complicated by chronic hypoxemia</w:t>
      </w:r>
      <w:r w:rsidR="00E22D66" w:rsidRPr="00F77243">
        <w:t xml:space="preserve"> (strong</w:t>
      </w:r>
      <w:r w:rsidR="00E22D66" w:rsidRPr="00E22D66">
        <w:t xml:space="preserve"> recommendation, very low-quality evidence</w:t>
      </w:r>
      <w:r w:rsidR="00E22D66" w:rsidRPr="00F77243">
        <w:t>)</w:t>
      </w:r>
      <w:r w:rsidR="004C3C67" w:rsidRPr="00F77243">
        <w:t>;</w:t>
      </w:r>
    </w:p>
    <w:p w14:paraId="05ABE456" w14:textId="5D04D352" w:rsidR="005F1CA9" w:rsidRDefault="005F1CA9" w:rsidP="00C32BFE">
      <w:pPr>
        <w:pStyle w:val="ListParagraph"/>
        <w:numPr>
          <w:ilvl w:val="0"/>
          <w:numId w:val="48"/>
        </w:numPr>
        <w:autoSpaceDE w:val="0"/>
        <w:autoSpaceDN w:val="0"/>
        <w:adjustRightInd w:val="0"/>
      </w:pPr>
      <w:r>
        <w:t>Interstitial lung disease complicated by severe chronic hypoxemia</w:t>
      </w:r>
      <w:r w:rsidR="00F77243" w:rsidRPr="00F77243">
        <w:t xml:space="preserve"> (strong recommendation, very low-quality evidence)</w:t>
      </w:r>
      <w:r w:rsidR="00F12E62">
        <w:t>;</w:t>
      </w:r>
    </w:p>
    <w:p w14:paraId="2E637489" w14:textId="1D2BE515" w:rsidR="00F12E62" w:rsidRDefault="005F1CA9" w:rsidP="00C32BFE">
      <w:pPr>
        <w:pStyle w:val="ListParagraph"/>
        <w:numPr>
          <w:ilvl w:val="0"/>
          <w:numId w:val="48"/>
        </w:numPr>
        <w:autoSpaceDE w:val="0"/>
        <w:autoSpaceDN w:val="0"/>
        <w:adjustRightInd w:val="0"/>
      </w:pPr>
      <w:r>
        <w:t xml:space="preserve">Interstitial lung disease </w:t>
      </w:r>
      <w:r w:rsidR="00FC38AA">
        <w:t xml:space="preserve">patients </w:t>
      </w:r>
      <w:r>
        <w:t>who have mild chronic hypoxemia and either dyspnea on exertion or desaturation during sleep or exertion</w:t>
      </w:r>
      <w:r w:rsidR="00D32F1E" w:rsidRPr="00D32F1E">
        <w:t xml:space="preserve"> (conditional recommendation, very low-quality evidence)</w:t>
      </w:r>
      <w:r w:rsidR="00F12E62">
        <w:t>;</w:t>
      </w:r>
    </w:p>
    <w:p w14:paraId="387A7593" w14:textId="740685AF" w:rsidR="004C3C67" w:rsidRDefault="00F12E62" w:rsidP="00C32BFE">
      <w:pPr>
        <w:pStyle w:val="ListParagraph"/>
        <w:numPr>
          <w:ilvl w:val="0"/>
          <w:numId w:val="48"/>
        </w:numPr>
        <w:autoSpaceDE w:val="0"/>
        <w:autoSpaceDN w:val="0"/>
        <w:adjustRightInd w:val="0"/>
      </w:pPr>
      <w:r>
        <w:t>P</w:t>
      </w:r>
      <w:r w:rsidR="004C3C67">
        <w:t>ulmonary hypertension with congenital heart disease complicated by chronic</w:t>
      </w:r>
      <w:r w:rsidR="00B2029F">
        <w:t xml:space="preserve"> </w:t>
      </w:r>
      <w:r w:rsidR="004C3C67">
        <w:t>hypoxemia</w:t>
      </w:r>
      <w:r w:rsidR="00FC4FD5">
        <w:t xml:space="preserve"> </w:t>
      </w:r>
      <w:r>
        <w:t>but not</w:t>
      </w:r>
      <w:r w:rsidR="00FC4FD5">
        <w:t xml:space="preserve"> </w:t>
      </w:r>
      <w:r w:rsidR="004C3C67">
        <w:t>until there has been consultation with a pediatric pulmonologist or cardiologist who has expertise in the management of pulmonary hypertension in this clinical setting</w:t>
      </w:r>
      <w:r>
        <w:t>, regardless of previous reparative or palliative congenital heart surgery</w:t>
      </w:r>
      <w:r w:rsidR="00EB6C2F" w:rsidRPr="00EB6C2F">
        <w:t xml:space="preserve"> (strong recommendation, very low-quality evidence)</w:t>
      </w:r>
      <w:r w:rsidR="004C3C67">
        <w:t>.</w:t>
      </w:r>
    </w:p>
    <w:p w14:paraId="4CFD5F05" w14:textId="77777777" w:rsidR="0001567F" w:rsidRDefault="0001567F" w:rsidP="004C3C67">
      <w:pPr>
        <w:autoSpaceDE w:val="0"/>
        <w:autoSpaceDN w:val="0"/>
        <w:adjustRightInd w:val="0"/>
      </w:pPr>
    </w:p>
    <w:p w14:paraId="2F331BC2" w14:textId="70047C78" w:rsidR="00C53337" w:rsidRPr="00C32BFE" w:rsidRDefault="00F12E62" w:rsidP="00C53337">
      <w:pPr>
        <w:autoSpaceDE w:val="0"/>
        <w:autoSpaceDN w:val="0"/>
        <w:adjustRightInd w:val="0"/>
        <w:rPr>
          <w:vertAlign w:val="superscript"/>
        </w:rPr>
      </w:pPr>
      <w:r>
        <w:t xml:space="preserve">Additionally, </w:t>
      </w:r>
      <w:r w:rsidR="00FD125A">
        <w:t xml:space="preserve">the </w:t>
      </w:r>
      <w:r w:rsidR="00886F41">
        <w:t>e</w:t>
      </w:r>
      <w:r w:rsidR="00C53337">
        <w:t>xpert panel unanimously agreed</w:t>
      </w:r>
      <w:r w:rsidR="00304163">
        <w:t xml:space="preserve"> </w:t>
      </w:r>
      <w:r w:rsidR="00C53337">
        <w:t>that optimal implementation of the</w:t>
      </w:r>
      <w:r w:rsidR="00304163">
        <w:t xml:space="preserve"> </w:t>
      </w:r>
      <w:r w:rsidR="00C53337">
        <w:t xml:space="preserve">above </w:t>
      </w:r>
      <w:r w:rsidR="00FD125A" w:rsidRPr="001E6055">
        <w:t>HOT</w:t>
      </w:r>
      <w:r w:rsidR="00FD125A">
        <w:t xml:space="preserve"> </w:t>
      </w:r>
      <w:r w:rsidR="00C53337">
        <w:t>recommendations consists of all</w:t>
      </w:r>
      <w:r w:rsidR="00304163">
        <w:t xml:space="preserve"> </w:t>
      </w:r>
      <w:r w:rsidR="00C53337">
        <w:t>of the following</w:t>
      </w:r>
      <w:r w:rsidR="00AA5F3A">
        <w:rPr>
          <w:vertAlign w:val="superscript"/>
        </w:rPr>
        <w:t>5</w:t>
      </w:r>
      <w:r w:rsidR="00C53337">
        <w:t>:</w:t>
      </w:r>
    </w:p>
    <w:p w14:paraId="56BCAC41" w14:textId="77777777" w:rsidR="00C53337" w:rsidRDefault="00C53337" w:rsidP="00C32BFE">
      <w:pPr>
        <w:pStyle w:val="ListParagraph"/>
        <w:numPr>
          <w:ilvl w:val="0"/>
          <w:numId w:val="48"/>
        </w:numPr>
        <w:autoSpaceDE w:val="0"/>
        <w:autoSpaceDN w:val="0"/>
        <w:adjustRightInd w:val="0"/>
      </w:pPr>
      <w:r>
        <w:t>Oxygen therapy to maintain an oxygen</w:t>
      </w:r>
      <w:r w:rsidR="00304163">
        <w:t xml:space="preserve"> </w:t>
      </w:r>
      <w:r>
        <w:t>saturation as measured by pulse</w:t>
      </w:r>
      <w:r w:rsidR="00304163">
        <w:t xml:space="preserve"> </w:t>
      </w:r>
      <w:r>
        <w:t>oximetry in an acceptable range according to age and respiratory</w:t>
      </w:r>
      <w:r w:rsidR="00304163">
        <w:t xml:space="preserve"> </w:t>
      </w:r>
      <w:r>
        <w:t>condition outlined in th</w:t>
      </w:r>
      <w:r w:rsidR="00FD125A">
        <w:t>e full</w:t>
      </w:r>
      <w:r>
        <w:t xml:space="preserve"> </w:t>
      </w:r>
      <w:r w:rsidR="00061D19">
        <w:t xml:space="preserve">guideline </w:t>
      </w:r>
      <w:r>
        <w:t>document</w:t>
      </w:r>
      <w:r w:rsidR="00FD125A">
        <w:t>;</w:t>
      </w:r>
    </w:p>
    <w:p w14:paraId="1F291E18" w14:textId="77777777" w:rsidR="00C53337" w:rsidRDefault="00C53337" w:rsidP="00C32BFE">
      <w:pPr>
        <w:pStyle w:val="ListParagraph"/>
        <w:numPr>
          <w:ilvl w:val="0"/>
          <w:numId w:val="48"/>
        </w:numPr>
        <w:autoSpaceDE w:val="0"/>
        <w:autoSpaceDN w:val="0"/>
        <w:adjustRightInd w:val="0"/>
      </w:pPr>
      <w:r>
        <w:t>Use of oxygen equipment that is of the</w:t>
      </w:r>
      <w:r w:rsidR="00304163">
        <w:t xml:space="preserve"> </w:t>
      </w:r>
      <w:r>
        <w:t>appropriate size, developmental stage,</w:t>
      </w:r>
      <w:r w:rsidR="00304163">
        <w:t xml:space="preserve"> </w:t>
      </w:r>
      <w:r>
        <w:t>and flow rate to function properly</w:t>
      </w:r>
      <w:r w:rsidR="00FD125A">
        <w:t>;</w:t>
      </w:r>
    </w:p>
    <w:p w14:paraId="0FC41759" w14:textId="77777777" w:rsidR="00840209" w:rsidRDefault="00C53337" w:rsidP="00840209">
      <w:pPr>
        <w:pStyle w:val="ListParagraph"/>
        <w:numPr>
          <w:ilvl w:val="0"/>
          <w:numId w:val="48"/>
        </w:numPr>
        <w:autoSpaceDE w:val="0"/>
        <w:autoSpaceDN w:val="0"/>
        <w:adjustRightInd w:val="0"/>
      </w:pPr>
      <w:r>
        <w:t>Oxygen therapy monitoring by pulse</w:t>
      </w:r>
      <w:r w:rsidR="00304163">
        <w:t xml:space="preserve"> </w:t>
      </w:r>
      <w:r>
        <w:t>oximetry in the home</w:t>
      </w:r>
      <w:r w:rsidR="00FD125A">
        <w:t>.</w:t>
      </w:r>
    </w:p>
    <w:p w14:paraId="219FD354" w14:textId="77777777" w:rsidR="00840209" w:rsidRDefault="00840209" w:rsidP="00840209">
      <w:pPr>
        <w:autoSpaceDE w:val="0"/>
        <w:autoSpaceDN w:val="0"/>
        <w:adjustRightInd w:val="0"/>
      </w:pPr>
    </w:p>
    <w:p w14:paraId="009E7A37" w14:textId="56D417BF" w:rsidR="00CE758E" w:rsidRDefault="00840209">
      <w:pPr>
        <w:autoSpaceDE w:val="0"/>
        <w:autoSpaceDN w:val="0"/>
        <w:adjustRightInd w:val="0"/>
        <w:rPr>
          <w:b/>
          <w:bCs/>
        </w:rPr>
      </w:pPr>
      <w:r w:rsidRPr="00290D09">
        <w:rPr>
          <w:b/>
          <w:bCs/>
        </w:rPr>
        <w:lastRenderedPageBreak/>
        <w:t>Requirements for Medical Oxygen Providers and Retailers</w:t>
      </w:r>
    </w:p>
    <w:p w14:paraId="00DCF7E8" w14:textId="77777777" w:rsidR="007C6118" w:rsidRDefault="007C6118">
      <w:pPr>
        <w:autoSpaceDE w:val="0"/>
        <w:autoSpaceDN w:val="0"/>
        <w:adjustRightInd w:val="0"/>
        <w:rPr>
          <w:b/>
          <w:bCs/>
        </w:rPr>
      </w:pPr>
    </w:p>
    <w:p w14:paraId="1576DFC0" w14:textId="66016EBA" w:rsidR="00CE787C" w:rsidRDefault="00CE787C">
      <w:pPr>
        <w:autoSpaceDE w:val="0"/>
        <w:autoSpaceDN w:val="0"/>
        <w:adjustRightInd w:val="0"/>
      </w:pPr>
      <w:r w:rsidRPr="00290D09">
        <w:t>In addition to meeting the general DME and medical supply provider requirements, oxygen providers and providers of oxygen-related equipment and services must also have a current and valid oxygen permit</w:t>
      </w:r>
      <w:r>
        <w:t>.</w:t>
      </w:r>
    </w:p>
    <w:p w14:paraId="2211AD3E" w14:textId="77777777" w:rsidR="00CE787C" w:rsidRDefault="00CE787C">
      <w:pPr>
        <w:autoSpaceDE w:val="0"/>
        <w:autoSpaceDN w:val="0"/>
        <w:adjustRightInd w:val="0"/>
      </w:pPr>
    </w:p>
    <w:p w14:paraId="751C1A31" w14:textId="77777777" w:rsidR="00CE787C" w:rsidRDefault="00CE787C" w:rsidP="00CE787C">
      <w:pPr>
        <w:autoSpaceDE w:val="0"/>
        <w:autoSpaceDN w:val="0"/>
        <w:adjustRightInd w:val="0"/>
      </w:pPr>
      <w:r w:rsidRPr="00290D09">
        <w:t xml:space="preserve">Pharmacy providers who also provide DME and bill Medicaid for oxygen must submit copies of their OPH pharmacy permits with their provider enrollment applications. </w:t>
      </w:r>
    </w:p>
    <w:p w14:paraId="34EAEBEA" w14:textId="77777777" w:rsidR="00CE787C" w:rsidRDefault="00CE787C" w:rsidP="00CE787C">
      <w:pPr>
        <w:autoSpaceDE w:val="0"/>
        <w:autoSpaceDN w:val="0"/>
        <w:adjustRightInd w:val="0"/>
      </w:pPr>
    </w:p>
    <w:p w14:paraId="35F2645D" w14:textId="0243CA5E" w:rsidR="00E7500E" w:rsidRDefault="00CE787C" w:rsidP="00CE787C">
      <w:pPr>
        <w:autoSpaceDE w:val="0"/>
        <w:autoSpaceDN w:val="0"/>
        <w:adjustRightInd w:val="0"/>
      </w:pPr>
      <w:r w:rsidRPr="00290D09">
        <w:t>Oxygen providers must have a licensed certified respiratory therapist (CRT), registered respiratory therapist (RRT), registered nurse (RN), or respiratory care practitioner (RCP) under contract or on</w:t>
      </w:r>
      <w:r w:rsidR="00520E28">
        <w:t xml:space="preserve"> </w:t>
      </w:r>
      <w:r w:rsidR="00520E28" w:rsidRPr="00520E28">
        <w:t>staff to provide management and consumer instruction at the provider’s physical DME business location or in the beneficiary’s home.</w:t>
      </w:r>
    </w:p>
    <w:p w14:paraId="2586E908" w14:textId="77777777" w:rsidR="00520E28" w:rsidRDefault="00520E28" w:rsidP="00CE787C">
      <w:pPr>
        <w:autoSpaceDE w:val="0"/>
        <w:autoSpaceDN w:val="0"/>
        <w:adjustRightInd w:val="0"/>
      </w:pPr>
    </w:p>
    <w:p w14:paraId="7B5C7428" w14:textId="1D0007F7" w:rsidR="00520E28" w:rsidRDefault="009410B5" w:rsidP="00CE787C">
      <w:pPr>
        <w:autoSpaceDE w:val="0"/>
        <w:autoSpaceDN w:val="0"/>
        <w:adjustRightInd w:val="0"/>
      </w:pPr>
      <w:r w:rsidRPr="009410B5">
        <w:t>DME oxygen providers and providers of oxygen-related equipment and services must establish and implement written policies and procedures to ensure all new and used oxygen-related or respiratory equipment, including the internal filters purchased by the provider, are appropriately disinfected, sterilized, serviced, and properly stored according to manufacturer’s specifications.</w:t>
      </w:r>
    </w:p>
    <w:p w14:paraId="3395D2DC" w14:textId="77777777" w:rsidR="009410B5" w:rsidRDefault="009410B5" w:rsidP="00CE787C">
      <w:pPr>
        <w:autoSpaceDE w:val="0"/>
        <w:autoSpaceDN w:val="0"/>
        <w:adjustRightInd w:val="0"/>
      </w:pPr>
    </w:p>
    <w:p w14:paraId="5ADD8D9F" w14:textId="31A9436F" w:rsidR="009410B5" w:rsidRDefault="009410B5" w:rsidP="00CE787C">
      <w:pPr>
        <w:autoSpaceDE w:val="0"/>
        <w:autoSpaceDN w:val="0"/>
        <w:adjustRightInd w:val="0"/>
      </w:pPr>
      <w:r w:rsidRPr="009410B5">
        <w:t>Prior to renting, delivering, or providing the equipment to any individual beneficiary, all licensure requirements and industry standards are applicable.</w:t>
      </w:r>
    </w:p>
    <w:p w14:paraId="5B4B5E77" w14:textId="77777777" w:rsidR="009410B5" w:rsidRDefault="009410B5" w:rsidP="00CE787C">
      <w:pPr>
        <w:autoSpaceDE w:val="0"/>
        <w:autoSpaceDN w:val="0"/>
        <w:adjustRightInd w:val="0"/>
      </w:pPr>
    </w:p>
    <w:p w14:paraId="595206BB" w14:textId="701F05E1" w:rsidR="009410B5" w:rsidRDefault="002E1DD3" w:rsidP="00CE787C">
      <w:pPr>
        <w:autoSpaceDE w:val="0"/>
        <w:autoSpaceDN w:val="0"/>
        <w:adjustRightInd w:val="0"/>
      </w:pPr>
      <w:r w:rsidRPr="002E1DD3">
        <w:t>NOTE:  Used equipment cannot be sold to a beneficiary; however, rental equipment may be provided.</w:t>
      </w:r>
    </w:p>
    <w:p w14:paraId="393E0A87" w14:textId="77777777" w:rsidR="0060580A" w:rsidRDefault="0060580A" w:rsidP="00CE787C">
      <w:pPr>
        <w:autoSpaceDE w:val="0"/>
        <w:autoSpaceDN w:val="0"/>
        <w:adjustRightInd w:val="0"/>
      </w:pPr>
    </w:p>
    <w:p w14:paraId="342E568E" w14:textId="71B8217C" w:rsidR="0060580A" w:rsidRDefault="0060580A" w:rsidP="00CE787C">
      <w:pPr>
        <w:autoSpaceDE w:val="0"/>
        <w:autoSpaceDN w:val="0"/>
        <w:adjustRightInd w:val="0"/>
      </w:pPr>
      <w:r w:rsidRPr="0060580A">
        <w:t>Additionally, all providers of medical oxygen and oxygen-related equipment must have an updated contingency plan on file that ensures emergency oxygen, oxygen</w:t>
      </w:r>
      <w:r>
        <w:t xml:space="preserve"> </w:t>
      </w:r>
      <w:r w:rsidRPr="0060580A">
        <w:t>related equipment and services will be provided to beneficiaries 24 hours a day. Providers are responsible for ensuring that medical oxygen and oxygen-related equipment available during</w:t>
      </w:r>
      <w:r w:rsidR="000A2F9D">
        <w:t xml:space="preserve"> </w:t>
      </w:r>
      <w:r w:rsidRPr="0060580A">
        <w:t>emergencies, if medically necessary. This may include the aftermath of a natural disaster. The department will not reimburse providers for unused equipment and supplies retrieved after an emergency.</w:t>
      </w:r>
      <w:r w:rsidR="007C6118">
        <w:t xml:space="preserve"> </w:t>
      </w:r>
      <w:r w:rsidRPr="0060580A">
        <w:t xml:space="preserve">Pickup and delivery documentation must be maintained for all equipment.  The provider of DME oxygen services and oxygen-related equipment and services must maintain beneficiary records.  All beneficiary records must include equipment assessments, such as oxygen concentrator hour meter readings.  </w:t>
      </w:r>
    </w:p>
    <w:p w14:paraId="55518988" w14:textId="77777777" w:rsidR="007C6118" w:rsidRDefault="007C6118" w:rsidP="00CE787C">
      <w:pPr>
        <w:autoSpaceDE w:val="0"/>
        <w:autoSpaceDN w:val="0"/>
        <w:adjustRightInd w:val="0"/>
      </w:pPr>
    </w:p>
    <w:p w14:paraId="2EC1A309" w14:textId="744B5C10" w:rsidR="007C6118" w:rsidRPr="00CE787C" w:rsidRDefault="007C6118" w:rsidP="00290D09">
      <w:pPr>
        <w:autoSpaceDE w:val="0"/>
        <w:autoSpaceDN w:val="0"/>
        <w:adjustRightInd w:val="0"/>
      </w:pPr>
      <w:r w:rsidRPr="007C6118">
        <w:t>If the equipment has a patient compliance hour meter, that reading must also be documented and maintained in the beneficiary’s record.</w:t>
      </w:r>
    </w:p>
    <w:p w14:paraId="130C336E" w14:textId="77777777" w:rsidR="0061080B" w:rsidRPr="00B42351" w:rsidRDefault="0061080B" w:rsidP="00721C72"/>
    <w:p w14:paraId="561DB9A8" w14:textId="77777777" w:rsidR="00721C72" w:rsidRPr="00B42351" w:rsidRDefault="00721C72" w:rsidP="00721C72">
      <w:pPr>
        <w:rPr>
          <w:b/>
        </w:rPr>
      </w:pPr>
      <w:r w:rsidRPr="00B42351">
        <w:rPr>
          <w:b/>
        </w:rPr>
        <w:t>Coding Implications</w:t>
      </w:r>
    </w:p>
    <w:bookmarkEnd w:id="2"/>
    <w:p w14:paraId="4D6852CC" w14:textId="238B3E86" w:rsidR="00721C72" w:rsidRPr="00B42351" w:rsidRDefault="00721C72" w:rsidP="00721C72">
      <w:r w:rsidRPr="00B42351">
        <w:t>This clinical policy references Current Procedural Terminology (CPT</w:t>
      </w:r>
      <w:r w:rsidRPr="00B42351">
        <w:rPr>
          <w:vertAlign w:val="superscript"/>
        </w:rPr>
        <w:t>®</w:t>
      </w:r>
      <w:r w:rsidRPr="00B42351">
        <w:t>). CPT</w:t>
      </w:r>
      <w:r w:rsidRPr="00B42351">
        <w:rPr>
          <w:vertAlign w:val="superscript"/>
        </w:rPr>
        <w:t>®</w:t>
      </w:r>
      <w:r w:rsidRPr="00B42351">
        <w:t xml:space="preserve"> is a registered trademark of the American Medical Association. All CPT codes and descriptions are copyrighted 20</w:t>
      </w:r>
      <w:r w:rsidR="0005504D">
        <w:t>2</w:t>
      </w:r>
      <w:r w:rsidR="007140C1">
        <w:t>3</w:t>
      </w:r>
      <w:r w:rsidRPr="00B42351">
        <w:t>, American Medical Association. All rights reserved. CPT codes and CPT descriptions are from the current manuals and those included herein are not intended to be all-inclusive and are included fo</w:t>
      </w:r>
      <w:r w:rsidR="0029760B">
        <w:t>r informational purposes only</w:t>
      </w:r>
      <w:r w:rsidR="00FB7B32">
        <w:t xml:space="preserve"> and may not support medical necessity</w:t>
      </w:r>
      <w:r w:rsidRPr="00B50522">
        <w:t xml:space="preserve">. </w:t>
      </w:r>
      <w:r w:rsidRPr="00B42351">
        <w:t>Codes referenced in this clinical policy are fo</w:t>
      </w:r>
      <w:r w:rsidR="0029760B">
        <w:t xml:space="preserve">r informational purposes only. </w:t>
      </w:r>
      <w:r w:rsidRPr="00B42351">
        <w:t xml:space="preserve">Inclusion or exclusion of </w:t>
      </w:r>
      <w:r w:rsidRPr="00B42351">
        <w:lastRenderedPageBreak/>
        <w:t>any codes does not guarantee c</w:t>
      </w:r>
      <w:r w:rsidR="0029760B">
        <w:t xml:space="preserve">overage. </w:t>
      </w:r>
      <w:r w:rsidRPr="00B42351">
        <w:t>Providers should reference the most up-to-date sources of professional coding guidance prior to the submission of claims for reimbursement of covered services.</w:t>
      </w:r>
    </w:p>
    <w:p w14:paraId="363D441C" w14:textId="77777777" w:rsidR="00721C72" w:rsidRPr="006B1E21" w:rsidRDefault="00721C72" w:rsidP="00721C72">
      <w:pPr>
        <w:rPr>
          <w:sz w:val="20"/>
        </w:rPr>
      </w:pPr>
    </w:p>
    <w:p w14:paraId="676AC481" w14:textId="77777777" w:rsidR="00FE6A6D" w:rsidRDefault="00FE6A6D" w:rsidP="00721C72">
      <w:r>
        <w:t xml:space="preserve">Note: </w:t>
      </w:r>
      <w:r w:rsidR="00402B0D" w:rsidRPr="00FE6A6D">
        <w:t>To</w:t>
      </w:r>
      <w:r w:rsidRPr="00FE6A6D">
        <w:t xml:space="preserve"> adhere to the CMS National Correct Coding Initiative (NCCI) edits, only one (1) unit per HCPCS for portable oxygen contents is allowed per claim line regardless of the date(s) of service. Multiple claim lines for the HCPCS for portable oxygen contents may be billed for the same dates of service.</w:t>
      </w:r>
      <w:r>
        <w:t xml:space="preserve"> </w:t>
      </w:r>
    </w:p>
    <w:p w14:paraId="06017D02" w14:textId="77777777" w:rsidR="00AD0979" w:rsidRDefault="00AD0979" w:rsidP="00721C72"/>
    <w:p w14:paraId="022557AC" w14:textId="77777777" w:rsidR="00AD0979" w:rsidRDefault="00AD0979" w:rsidP="00721C72"/>
    <w:p w14:paraId="6DA11FD2" w14:textId="77777777" w:rsidR="00AD0979" w:rsidRDefault="00AD0979" w:rsidP="00721C72"/>
    <w:p w14:paraId="594EC04A" w14:textId="77777777" w:rsidR="00AD0979" w:rsidRPr="00B50522" w:rsidRDefault="00AD0979" w:rsidP="00721C72"/>
    <w:p w14:paraId="3D33B12C" w14:textId="77777777" w:rsidR="00721C72" w:rsidRPr="00B50522" w:rsidRDefault="00721C72" w:rsidP="00721C72">
      <w:pPr>
        <w:rPr>
          <w:sz w:val="20"/>
        </w:rPr>
      </w:pP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114"/>
        <w:gridCol w:w="8511"/>
      </w:tblGrid>
      <w:tr w:rsidR="00721C72" w:rsidRPr="00B42351" w14:paraId="5285186E" w14:textId="77777777" w:rsidTr="00721C72">
        <w:trPr>
          <w:tblHeader/>
        </w:trPr>
        <w:tc>
          <w:tcPr>
            <w:tcW w:w="1114" w:type="dxa"/>
            <w:tcBorders>
              <w:top w:val="single" w:sz="4" w:space="0" w:color="auto"/>
              <w:left w:val="single" w:sz="4" w:space="0" w:color="auto"/>
              <w:bottom w:val="single" w:sz="4" w:space="0" w:color="auto"/>
              <w:right w:val="single" w:sz="4" w:space="0" w:color="auto"/>
            </w:tcBorders>
            <w:shd w:val="clear" w:color="auto" w:fill="00548C"/>
            <w:hideMark/>
          </w:tcPr>
          <w:p w14:paraId="0320BA1B" w14:textId="77777777" w:rsidR="00721C72" w:rsidRPr="00450A6F" w:rsidRDefault="00642D4A">
            <w:pPr>
              <w:rPr>
                <w:b/>
                <w:bCs/>
                <w:color w:val="FFFFFF"/>
              </w:rPr>
            </w:pPr>
            <w:r w:rsidRPr="00450A6F">
              <w:rPr>
                <w:b/>
                <w:color w:val="FFFFFF"/>
              </w:rPr>
              <w:t>HCPCS</w:t>
            </w:r>
            <w:r w:rsidR="00721C72" w:rsidRPr="00450A6F">
              <w:rPr>
                <w:b/>
                <w:color w:val="FFFFFF"/>
              </w:rPr>
              <w:t xml:space="preserve"> Codes </w:t>
            </w:r>
          </w:p>
        </w:tc>
        <w:tc>
          <w:tcPr>
            <w:tcW w:w="8511" w:type="dxa"/>
            <w:tcBorders>
              <w:top w:val="single" w:sz="4" w:space="0" w:color="auto"/>
              <w:left w:val="single" w:sz="4" w:space="0" w:color="auto"/>
              <w:bottom w:val="single" w:sz="4" w:space="0" w:color="auto"/>
              <w:right w:val="single" w:sz="4" w:space="0" w:color="auto"/>
            </w:tcBorders>
            <w:shd w:val="clear" w:color="auto" w:fill="00548C"/>
            <w:hideMark/>
          </w:tcPr>
          <w:p w14:paraId="19905E79" w14:textId="77777777" w:rsidR="00721C72" w:rsidRPr="00450A6F" w:rsidRDefault="00721C72">
            <w:pPr>
              <w:rPr>
                <w:b/>
                <w:bCs/>
                <w:color w:val="FFFFFF"/>
              </w:rPr>
            </w:pPr>
            <w:r w:rsidRPr="00450A6F">
              <w:rPr>
                <w:b/>
                <w:color w:val="FFFFFF"/>
              </w:rPr>
              <w:t>Description</w:t>
            </w:r>
          </w:p>
        </w:tc>
      </w:tr>
      <w:tr w:rsidR="00721C72" w:rsidRPr="00B42351" w14:paraId="028017AD" w14:textId="77777777" w:rsidTr="00721C72">
        <w:tc>
          <w:tcPr>
            <w:tcW w:w="1114" w:type="dxa"/>
            <w:tcBorders>
              <w:top w:val="single" w:sz="4" w:space="0" w:color="auto"/>
              <w:left w:val="single" w:sz="4" w:space="0" w:color="auto"/>
              <w:bottom w:val="single" w:sz="4" w:space="0" w:color="auto"/>
              <w:right w:val="single" w:sz="4" w:space="0" w:color="auto"/>
            </w:tcBorders>
            <w:hideMark/>
          </w:tcPr>
          <w:p w14:paraId="570727F3" w14:textId="77777777" w:rsidR="00721C72" w:rsidRPr="00450A6F" w:rsidRDefault="00721C72">
            <w:pPr>
              <w:rPr>
                <w:bCs/>
              </w:rPr>
            </w:pPr>
          </w:p>
        </w:tc>
        <w:tc>
          <w:tcPr>
            <w:tcW w:w="8511" w:type="dxa"/>
            <w:tcBorders>
              <w:top w:val="single" w:sz="4" w:space="0" w:color="auto"/>
              <w:left w:val="single" w:sz="4" w:space="0" w:color="auto"/>
              <w:bottom w:val="single" w:sz="4" w:space="0" w:color="auto"/>
              <w:right w:val="single" w:sz="4" w:space="0" w:color="auto"/>
            </w:tcBorders>
            <w:hideMark/>
          </w:tcPr>
          <w:p w14:paraId="48947602" w14:textId="77777777" w:rsidR="00721C72" w:rsidRPr="00450A6F" w:rsidRDefault="00721C72" w:rsidP="00721C72">
            <w:pPr>
              <w:rPr>
                <w:bCs/>
              </w:rPr>
            </w:pPr>
          </w:p>
        </w:tc>
      </w:tr>
      <w:tr w:rsidR="00374075" w:rsidRPr="00B42351" w14:paraId="3EC59522" w14:textId="77777777" w:rsidTr="00374075">
        <w:tc>
          <w:tcPr>
            <w:tcW w:w="1114" w:type="dxa"/>
            <w:tcBorders>
              <w:top w:val="single" w:sz="4" w:space="0" w:color="auto"/>
              <w:left w:val="single" w:sz="4" w:space="0" w:color="auto"/>
              <w:bottom w:val="single" w:sz="4" w:space="0" w:color="auto"/>
              <w:right w:val="single" w:sz="4" w:space="0" w:color="auto"/>
            </w:tcBorders>
          </w:tcPr>
          <w:p w14:paraId="0718FF60" w14:textId="77777777" w:rsidR="00374075" w:rsidRPr="00450A6F" w:rsidRDefault="00374075" w:rsidP="00374075">
            <w:pPr>
              <w:rPr>
                <w:bCs/>
              </w:rPr>
            </w:pPr>
            <w:r w:rsidRPr="00450A6F">
              <w:t>E0424</w:t>
            </w:r>
          </w:p>
        </w:tc>
        <w:tc>
          <w:tcPr>
            <w:tcW w:w="8511" w:type="dxa"/>
            <w:tcBorders>
              <w:top w:val="single" w:sz="4" w:space="0" w:color="auto"/>
              <w:left w:val="single" w:sz="4" w:space="0" w:color="auto"/>
              <w:bottom w:val="single" w:sz="4" w:space="0" w:color="auto"/>
              <w:right w:val="single" w:sz="4" w:space="0" w:color="auto"/>
            </w:tcBorders>
          </w:tcPr>
          <w:p w14:paraId="6509A9D7" w14:textId="77777777" w:rsidR="00374075" w:rsidRPr="00450A6F" w:rsidRDefault="00092279" w:rsidP="00374075">
            <w:pPr>
              <w:rPr>
                <w:bCs/>
              </w:rPr>
            </w:pPr>
            <w:r w:rsidRPr="00450A6F">
              <w:rPr>
                <w:bCs/>
              </w:rPr>
              <w:t>Stationary compressed gaseous oxygen system, rental; includes container, contents, regulator, flowmeter, humidifier, nebulizer, cannula or mask, and tubing</w:t>
            </w:r>
          </w:p>
        </w:tc>
      </w:tr>
      <w:tr w:rsidR="00374075" w:rsidRPr="00B42351" w14:paraId="6DC9EE4E" w14:textId="77777777" w:rsidTr="00374075">
        <w:tc>
          <w:tcPr>
            <w:tcW w:w="1114" w:type="dxa"/>
            <w:tcBorders>
              <w:top w:val="single" w:sz="4" w:space="0" w:color="auto"/>
              <w:left w:val="single" w:sz="4" w:space="0" w:color="auto"/>
              <w:bottom w:val="single" w:sz="4" w:space="0" w:color="auto"/>
              <w:right w:val="single" w:sz="4" w:space="0" w:color="auto"/>
            </w:tcBorders>
          </w:tcPr>
          <w:p w14:paraId="3CF70375" w14:textId="77777777" w:rsidR="00374075" w:rsidRPr="00450A6F" w:rsidRDefault="00374075" w:rsidP="00374075">
            <w:pPr>
              <w:rPr>
                <w:bCs/>
              </w:rPr>
            </w:pPr>
            <w:r w:rsidRPr="00450A6F">
              <w:t>E0425</w:t>
            </w:r>
          </w:p>
        </w:tc>
        <w:tc>
          <w:tcPr>
            <w:tcW w:w="8511" w:type="dxa"/>
            <w:tcBorders>
              <w:top w:val="single" w:sz="4" w:space="0" w:color="auto"/>
              <w:left w:val="single" w:sz="4" w:space="0" w:color="auto"/>
              <w:bottom w:val="single" w:sz="4" w:space="0" w:color="auto"/>
              <w:right w:val="single" w:sz="4" w:space="0" w:color="auto"/>
            </w:tcBorders>
          </w:tcPr>
          <w:p w14:paraId="6B4C6BA1" w14:textId="77777777" w:rsidR="00374075" w:rsidRPr="00450A6F" w:rsidRDefault="00092279" w:rsidP="00374075">
            <w:pPr>
              <w:rPr>
                <w:bCs/>
              </w:rPr>
            </w:pPr>
            <w:r w:rsidRPr="00450A6F">
              <w:rPr>
                <w:bCs/>
              </w:rPr>
              <w:t>Stationary compressed gas system, purchase; includes regulator, flowmeter, humidifier, nebulizer, cannula or mask, and tubing</w:t>
            </w:r>
            <w:r w:rsidR="00A3143E" w:rsidRPr="00A17B68">
              <w:rPr>
                <w:bCs/>
              </w:rPr>
              <w:t xml:space="preserve"> </w:t>
            </w:r>
          </w:p>
        </w:tc>
      </w:tr>
      <w:tr w:rsidR="00374075" w:rsidRPr="00B42351" w14:paraId="46E51CDA" w14:textId="77777777" w:rsidTr="00374075">
        <w:tc>
          <w:tcPr>
            <w:tcW w:w="1114" w:type="dxa"/>
            <w:tcBorders>
              <w:top w:val="single" w:sz="4" w:space="0" w:color="auto"/>
              <w:left w:val="single" w:sz="4" w:space="0" w:color="auto"/>
              <w:bottom w:val="single" w:sz="4" w:space="0" w:color="auto"/>
              <w:right w:val="single" w:sz="4" w:space="0" w:color="auto"/>
            </w:tcBorders>
          </w:tcPr>
          <w:p w14:paraId="76C8190C" w14:textId="77777777" w:rsidR="00374075" w:rsidRPr="00B42351" w:rsidRDefault="00374075" w:rsidP="00374075">
            <w:pPr>
              <w:rPr>
                <w:bCs/>
              </w:rPr>
            </w:pPr>
            <w:r w:rsidRPr="00B42351">
              <w:t>E0430</w:t>
            </w:r>
          </w:p>
        </w:tc>
        <w:tc>
          <w:tcPr>
            <w:tcW w:w="8511" w:type="dxa"/>
            <w:tcBorders>
              <w:top w:val="single" w:sz="4" w:space="0" w:color="auto"/>
              <w:left w:val="single" w:sz="4" w:space="0" w:color="auto"/>
              <w:bottom w:val="single" w:sz="4" w:space="0" w:color="auto"/>
              <w:right w:val="single" w:sz="4" w:space="0" w:color="auto"/>
            </w:tcBorders>
          </w:tcPr>
          <w:p w14:paraId="7575E528" w14:textId="77777777" w:rsidR="00374075" w:rsidRPr="00B42351" w:rsidRDefault="00092279" w:rsidP="00374075">
            <w:pPr>
              <w:rPr>
                <w:bCs/>
              </w:rPr>
            </w:pPr>
            <w:r w:rsidRPr="00B42351">
              <w:rPr>
                <w:bCs/>
              </w:rPr>
              <w:t>Portable gaseous oxygen system, purchase; includes regulator, flowmeter, humidifier, cannula or mask, and tubing</w:t>
            </w:r>
          </w:p>
        </w:tc>
      </w:tr>
      <w:tr w:rsidR="00374075" w:rsidRPr="00B42351" w14:paraId="1D0D8111" w14:textId="77777777" w:rsidTr="00374075">
        <w:tc>
          <w:tcPr>
            <w:tcW w:w="1114" w:type="dxa"/>
            <w:tcBorders>
              <w:top w:val="single" w:sz="4" w:space="0" w:color="auto"/>
              <w:left w:val="single" w:sz="4" w:space="0" w:color="auto"/>
              <w:bottom w:val="single" w:sz="4" w:space="0" w:color="auto"/>
              <w:right w:val="single" w:sz="4" w:space="0" w:color="auto"/>
            </w:tcBorders>
          </w:tcPr>
          <w:p w14:paraId="5E90B1A2" w14:textId="77777777" w:rsidR="00374075" w:rsidRPr="00B42351" w:rsidRDefault="00374075" w:rsidP="00374075">
            <w:pPr>
              <w:rPr>
                <w:bCs/>
              </w:rPr>
            </w:pPr>
            <w:r w:rsidRPr="00B42351">
              <w:t>E0431</w:t>
            </w:r>
          </w:p>
        </w:tc>
        <w:tc>
          <w:tcPr>
            <w:tcW w:w="8511" w:type="dxa"/>
            <w:tcBorders>
              <w:top w:val="single" w:sz="4" w:space="0" w:color="auto"/>
              <w:left w:val="single" w:sz="4" w:space="0" w:color="auto"/>
              <w:bottom w:val="single" w:sz="4" w:space="0" w:color="auto"/>
              <w:right w:val="single" w:sz="4" w:space="0" w:color="auto"/>
            </w:tcBorders>
          </w:tcPr>
          <w:p w14:paraId="6FFB76E7" w14:textId="77777777" w:rsidR="00374075" w:rsidRPr="00B42351" w:rsidRDefault="00092279" w:rsidP="00374075">
            <w:pPr>
              <w:rPr>
                <w:bCs/>
              </w:rPr>
            </w:pPr>
            <w:r w:rsidRPr="00B42351">
              <w:rPr>
                <w:bCs/>
              </w:rPr>
              <w:t>Portable gaseous oxygen system, rental; includes portable container, regulator, flowmeter, humidifier, cannula or mask, and tubing</w:t>
            </w:r>
          </w:p>
        </w:tc>
      </w:tr>
      <w:tr w:rsidR="00374075" w:rsidRPr="00B42351" w14:paraId="79E8F77A"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2A1D3A7A" w14:textId="77777777" w:rsidR="00374075" w:rsidRPr="00B42351" w:rsidRDefault="00374075" w:rsidP="007116E2">
            <w:pPr>
              <w:rPr>
                <w:bCs/>
              </w:rPr>
            </w:pPr>
            <w:r w:rsidRPr="00B42351">
              <w:rPr>
                <w:bCs/>
              </w:rPr>
              <w:t>E0433</w:t>
            </w:r>
          </w:p>
        </w:tc>
        <w:tc>
          <w:tcPr>
            <w:tcW w:w="8511" w:type="dxa"/>
            <w:tcBorders>
              <w:top w:val="single" w:sz="4" w:space="0" w:color="auto"/>
              <w:left w:val="single" w:sz="4" w:space="0" w:color="auto"/>
              <w:bottom w:val="single" w:sz="4" w:space="0" w:color="auto"/>
              <w:right w:val="single" w:sz="4" w:space="0" w:color="auto"/>
            </w:tcBorders>
          </w:tcPr>
          <w:p w14:paraId="3E5910DE" w14:textId="77777777" w:rsidR="00374075" w:rsidRPr="00B42351" w:rsidRDefault="00092279" w:rsidP="007116E2">
            <w:pPr>
              <w:rPr>
                <w:bCs/>
              </w:rPr>
            </w:pPr>
            <w:r w:rsidRPr="00B42351">
              <w:rPr>
                <w:bCs/>
              </w:rPr>
              <w:t>Portable liquid oxygen system, rental; home liquefier used to fill portable liquid oxygen containers, includes portable containers, regulator, flowmeter, humidifier, cannula or mask and tubing, with or without supply reservoir and contents gauge</w:t>
            </w:r>
          </w:p>
        </w:tc>
      </w:tr>
      <w:tr w:rsidR="00374075" w:rsidRPr="00B42351" w14:paraId="2ADDE431"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796AF38F" w14:textId="77777777" w:rsidR="00374075" w:rsidRPr="00B42351" w:rsidRDefault="00374075" w:rsidP="007116E2">
            <w:pPr>
              <w:rPr>
                <w:bCs/>
              </w:rPr>
            </w:pPr>
            <w:r w:rsidRPr="00B42351">
              <w:rPr>
                <w:bCs/>
              </w:rPr>
              <w:t>E0434</w:t>
            </w:r>
          </w:p>
        </w:tc>
        <w:tc>
          <w:tcPr>
            <w:tcW w:w="8511" w:type="dxa"/>
            <w:tcBorders>
              <w:top w:val="single" w:sz="4" w:space="0" w:color="auto"/>
              <w:left w:val="single" w:sz="4" w:space="0" w:color="auto"/>
              <w:bottom w:val="single" w:sz="4" w:space="0" w:color="auto"/>
              <w:right w:val="single" w:sz="4" w:space="0" w:color="auto"/>
            </w:tcBorders>
          </w:tcPr>
          <w:p w14:paraId="170EB90D" w14:textId="77777777" w:rsidR="00374075" w:rsidRPr="00B42351" w:rsidRDefault="00092279" w:rsidP="007116E2">
            <w:pPr>
              <w:rPr>
                <w:bCs/>
              </w:rPr>
            </w:pPr>
            <w:r w:rsidRPr="00B42351">
              <w:rPr>
                <w:bCs/>
              </w:rPr>
              <w:t>Portable liquid oxygen system, rental; includes portable container, supply reservoir, humidifier, flowmeter, refill adaptor, contents gauge, cannula or mask, and tubing</w:t>
            </w:r>
          </w:p>
        </w:tc>
      </w:tr>
      <w:tr w:rsidR="00374075" w:rsidRPr="00B42351" w14:paraId="1A90F3EE"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1D87F5AF" w14:textId="77777777" w:rsidR="00374075" w:rsidRPr="00B42351" w:rsidRDefault="00374075" w:rsidP="007116E2">
            <w:pPr>
              <w:rPr>
                <w:bCs/>
              </w:rPr>
            </w:pPr>
            <w:r w:rsidRPr="00B42351">
              <w:rPr>
                <w:bCs/>
              </w:rPr>
              <w:t>E0435</w:t>
            </w:r>
          </w:p>
        </w:tc>
        <w:tc>
          <w:tcPr>
            <w:tcW w:w="8511" w:type="dxa"/>
            <w:tcBorders>
              <w:top w:val="single" w:sz="4" w:space="0" w:color="auto"/>
              <w:left w:val="single" w:sz="4" w:space="0" w:color="auto"/>
              <w:bottom w:val="single" w:sz="4" w:space="0" w:color="auto"/>
              <w:right w:val="single" w:sz="4" w:space="0" w:color="auto"/>
            </w:tcBorders>
          </w:tcPr>
          <w:p w14:paraId="03E8F1CD" w14:textId="77777777" w:rsidR="00374075" w:rsidRPr="00B42351" w:rsidRDefault="00092279" w:rsidP="007116E2">
            <w:pPr>
              <w:rPr>
                <w:bCs/>
              </w:rPr>
            </w:pPr>
            <w:r w:rsidRPr="00B42351">
              <w:rPr>
                <w:bCs/>
              </w:rPr>
              <w:t>Portable liquid oxygen system, purchase; includes portable container, supply reservoir, flowmeter, humidifier, contents gauge, cannula or mask, tubing and refill adaptor</w:t>
            </w:r>
          </w:p>
        </w:tc>
      </w:tr>
      <w:tr w:rsidR="00374075" w:rsidRPr="00B42351" w14:paraId="54CFF2C3"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45EABC9D" w14:textId="77777777" w:rsidR="00374075" w:rsidRPr="00B42351" w:rsidRDefault="00374075" w:rsidP="007116E2">
            <w:pPr>
              <w:rPr>
                <w:bCs/>
              </w:rPr>
            </w:pPr>
            <w:r w:rsidRPr="00B42351">
              <w:rPr>
                <w:bCs/>
              </w:rPr>
              <w:t>E0439</w:t>
            </w:r>
          </w:p>
        </w:tc>
        <w:tc>
          <w:tcPr>
            <w:tcW w:w="8511" w:type="dxa"/>
            <w:tcBorders>
              <w:top w:val="single" w:sz="4" w:space="0" w:color="auto"/>
              <w:left w:val="single" w:sz="4" w:space="0" w:color="auto"/>
              <w:bottom w:val="single" w:sz="4" w:space="0" w:color="auto"/>
              <w:right w:val="single" w:sz="4" w:space="0" w:color="auto"/>
            </w:tcBorders>
          </w:tcPr>
          <w:p w14:paraId="5952B3FE" w14:textId="77777777" w:rsidR="00374075" w:rsidRPr="00B42351" w:rsidRDefault="00092279" w:rsidP="007116E2">
            <w:pPr>
              <w:rPr>
                <w:bCs/>
              </w:rPr>
            </w:pPr>
            <w:r w:rsidRPr="00B42351">
              <w:rPr>
                <w:bCs/>
              </w:rPr>
              <w:t>Stationary liquid oxygen system, rental; includes container, contents, regulator, flowmeter, humidifier, nebulizer, cannula or mask, &amp; tubing</w:t>
            </w:r>
          </w:p>
        </w:tc>
      </w:tr>
      <w:tr w:rsidR="00374075" w:rsidRPr="00B42351" w14:paraId="52117DA0"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48A0F45D" w14:textId="77777777" w:rsidR="00374075" w:rsidRPr="00B42351" w:rsidRDefault="00374075" w:rsidP="007116E2">
            <w:pPr>
              <w:rPr>
                <w:bCs/>
              </w:rPr>
            </w:pPr>
            <w:r w:rsidRPr="00B42351">
              <w:rPr>
                <w:bCs/>
              </w:rPr>
              <w:t>E0440</w:t>
            </w:r>
          </w:p>
        </w:tc>
        <w:tc>
          <w:tcPr>
            <w:tcW w:w="8511" w:type="dxa"/>
            <w:tcBorders>
              <w:top w:val="single" w:sz="4" w:space="0" w:color="auto"/>
              <w:left w:val="single" w:sz="4" w:space="0" w:color="auto"/>
              <w:bottom w:val="single" w:sz="4" w:space="0" w:color="auto"/>
              <w:right w:val="single" w:sz="4" w:space="0" w:color="auto"/>
            </w:tcBorders>
          </w:tcPr>
          <w:p w14:paraId="61CB5F3C" w14:textId="77777777" w:rsidR="00374075" w:rsidRPr="00B42351" w:rsidRDefault="00092279" w:rsidP="007116E2">
            <w:pPr>
              <w:rPr>
                <w:bCs/>
              </w:rPr>
            </w:pPr>
            <w:r w:rsidRPr="00B42351">
              <w:rPr>
                <w:bCs/>
              </w:rPr>
              <w:t>Stationary liquid oxygen system, purchase; includes use of reservoir, contents indicator, regulator, flowmeter, humidifier, nebulizer, cannula or mask, and tubing</w:t>
            </w:r>
          </w:p>
        </w:tc>
      </w:tr>
      <w:tr w:rsidR="00374075" w:rsidRPr="00B42351" w14:paraId="5BE2A779"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040D547F" w14:textId="77777777" w:rsidR="00374075" w:rsidRPr="00B42351" w:rsidRDefault="00374075" w:rsidP="007116E2">
            <w:pPr>
              <w:rPr>
                <w:bCs/>
              </w:rPr>
            </w:pPr>
            <w:r w:rsidRPr="00B42351">
              <w:rPr>
                <w:bCs/>
              </w:rPr>
              <w:t>E0441</w:t>
            </w:r>
          </w:p>
        </w:tc>
        <w:tc>
          <w:tcPr>
            <w:tcW w:w="8511" w:type="dxa"/>
            <w:tcBorders>
              <w:top w:val="single" w:sz="4" w:space="0" w:color="auto"/>
              <w:left w:val="single" w:sz="4" w:space="0" w:color="auto"/>
              <w:bottom w:val="single" w:sz="4" w:space="0" w:color="auto"/>
              <w:right w:val="single" w:sz="4" w:space="0" w:color="auto"/>
            </w:tcBorders>
          </w:tcPr>
          <w:p w14:paraId="0E6F38CC" w14:textId="2FEA4DDB" w:rsidR="00374075" w:rsidRPr="00B42351" w:rsidRDefault="00092279" w:rsidP="007116E2">
            <w:pPr>
              <w:rPr>
                <w:bCs/>
              </w:rPr>
            </w:pPr>
            <w:r w:rsidRPr="00B42351">
              <w:rPr>
                <w:bCs/>
              </w:rPr>
              <w:t>Stationary oxygen contents, gaseous, 1 month</w:t>
            </w:r>
            <w:r w:rsidR="00EC208C">
              <w:rPr>
                <w:bCs/>
              </w:rPr>
              <w:t>’</w:t>
            </w:r>
            <w:r w:rsidRPr="00B42351">
              <w:rPr>
                <w:bCs/>
              </w:rPr>
              <w:t>s supply = 1 unit</w:t>
            </w:r>
          </w:p>
        </w:tc>
      </w:tr>
      <w:tr w:rsidR="00374075" w:rsidRPr="00B42351" w14:paraId="4AB2DA4B"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213FC418" w14:textId="77777777" w:rsidR="00374075" w:rsidRPr="00B42351" w:rsidRDefault="00374075" w:rsidP="007116E2">
            <w:pPr>
              <w:rPr>
                <w:bCs/>
              </w:rPr>
            </w:pPr>
            <w:r w:rsidRPr="00B42351">
              <w:rPr>
                <w:bCs/>
              </w:rPr>
              <w:t>E0442</w:t>
            </w:r>
          </w:p>
        </w:tc>
        <w:tc>
          <w:tcPr>
            <w:tcW w:w="8511" w:type="dxa"/>
            <w:tcBorders>
              <w:top w:val="single" w:sz="4" w:space="0" w:color="auto"/>
              <w:left w:val="single" w:sz="4" w:space="0" w:color="auto"/>
              <w:bottom w:val="single" w:sz="4" w:space="0" w:color="auto"/>
              <w:right w:val="single" w:sz="4" w:space="0" w:color="auto"/>
            </w:tcBorders>
          </w:tcPr>
          <w:p w14:paraId="26529F37" w14:textId="4AB9A6B8" w:rsidR="00374075" w:rsidRPr="00B42351" w:rsidRDefault="00092279" w:rsidP="007116E2">
            <w:pPr>
              <w:rPr>
                <w:bCs/>
              </w:rPr>
            </w:pPr>
            <w:r w:rsidRPr="00B42351">
              <w:rPr>
                <w:bCs/>
              </w:rPr>
              <w:t>Stationary oxygen contents, liquid, 1 month</w:t>
            </w:r>
            <w:r w:rsidR="00EC208C">
              <w:rPr>
                <w:bCs/>
              </w:rPr>
              <w:t>’</w:t>
            </w:r>
            <w:r w:rsidRPr="00B42351">
              <w:rPr>
                <w:bCs/>
              </w:rPr>
              <w:t>s supply = 1 unit</w:t>
            </w:r>
          </w:p>
        </w:tc>
      </w:tr>
      <w:tr w:rsidR="00374075" w:rsidRPr="00B42351" w14:paraId="229F6049"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4A6D5CDE" w14:textId="77777777" w:rsidR="00374075" w:rsidRPr="00B42351" w:rsidRDefault="00374075" w:rsidP="007116E2">
            <w:pPr>
              <w:rPr>
                <w:bCs/>
              </w:rPr>
            </w:pPr>
            <w:r w:rsidRPr="00B42351">
              <w:rPr>
                <w:bCs/>
              </w:rPr>
              <w:t>E0443</w:t>
            </w:r>
          </w:p>
        </w:tc>
        <w:tc>
          <w:tcPr>
            <w:tcW w:w="8511" w:type="dxa"/>
            <w:tcBorders>
              <w:top w:val="single" w:sz="4" w:space="0" w:color="auto"/>
              <w:left w:val="single" w:sz="4" w:space="0" w:color="auto"/>
              <w:bottom w:val="single" w:sz="4" w:space="0" w:color="auto"/>
              <w:right w:val="single" w:sz="4" w:space="0" w:color="auto"/>
            </w:tcBorders>
          </w:tcPr>
          <w:p w14:paraId="60908085" w14:textId="4F3DCAB8" w:rsidR="00374075" w:rsidRPr="00B42351" w:rsidRDefault="00092279" w:rsidP="007116E2">
            <w:pPr>
              <w:rPr>
                <w:bCs/>
              </w:rPr>
            </w:pPr>
            <w:r w:rsidRPr="00B42351">
              <w:rPr>
                <w:bCs/>
              </w:rPr>
              <w:t>Portable oxygen contents, gaseous, 1 month</w:t>
            </w:r>
            <w:r w:rsidR="00EC208C">
              <w:rPr>
                <w:bCs/>
              </w:rPr>
              <w:t>’</w:t>
            </w:r>
            <w:r w:rsidRPr="00B42351">
              <w:rPr>
                <w:bCs/>
              </w:rPr>
              <w:t xml:space="preserve">s supply = 1 unit  </w:t>
            </w:r>
          </w:p>
        </w:tc>
      </w:tr>
      <w:tr w:rsidR="00374075" w:rsidRPr="00B42351" w14:paraId="729DC5AB"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573D8E8F" w14:textId="77777777" w:rsidR="00374075" w:rsidRPr="00B42351" w:rsidRDefault="00374075" w:rsidP="007116E2">
            <w:pPr>
              <w:rPr>
                <w:bCs/>
              </w:rPr>
            </w:pPr>
            <w:r w:rsidRPr="00B42351">
              <w:rPr>
                <w:bCs/>
              </w:rPr>
              <w:t>E0444</w:t>
            </w:r>
          </w:p>
        </w:tc>
        <w:tc>
          <w:tcPr>
            <w:tcW w:w="8511" w:type="dxa"/>
            <w:tcBorders>
              <w:top w:val="single" w:sz="4" w:space="0" w:color="auto"/>
              <w:left w:val="single" w:sz="4" w:space="0" w:color="auto"/>
              <w:bottom w:val="single" w:sz="4" w:space="0" w:color="auto"/>
              <w:right w:val="single" w:sz="4" w:space="0" w:color="auto"/>
            </w:tcBorders>
          </w:tcPr>
          <w:p w14:paraId="6F92ED12" w14:textId="1096C193" w:rsidR="00374075" w:rsidRPr="00B42351" w:rsidRDefault="00092279" w:rsidP="007116E2">
            <w:pPr>
              <w:rPr>
                <w:bCs/>
              </w:rPr>
            </w:pPr>
            <w:r w:rsidRPr="00B42351">
              <w:rPr>
                <w:bCs/>
              </w:rPr>
              <w:t>Portable oxygen contents, liquid, 1 month</w:t>
            </w:r>
            <w:r w:rsidR="00EC208C">
              <w:rPr>
                <w:bCs/>
              </w:rPr>
              <w:t>’</w:t>
            </w:r>
            <w:r w:rsidRPr="00B42351">
              <w:rPr>
                <w:bCs/>
              </w:rPr>
              <w:t>s supply = 1 unit</w:t>
            </w:r>
          </w:p>
        </w:tc>
      </w:tr>
      <w:tr w:rsidR="00374075" w:rsidRPr="00B42351" w14:paraId="0172F98B"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29B53452" w14:textId="77777777" w:rsidR="00374075" w:rsidRPr="00B42351" w:rsidRDefault="00374075" w:rsidP="007116E2">
            <w:pPr>
              <w:rPr>
                <w:bCs/>
              </w:rPr>
            </w:pPr>
            <w:r w:rsidRPr="00B42351">
              <w:rPr>
                <w:bCs/>
              </w:rPr>
              <w:t>E0445</w:t>
            </w:r>
          </w:p>
        </w:tc>
        <w:tc>
          <w:tcPr>
            <w:tcW w:w="8511" w:type="dxa"/>
            <w:tcBorders>
              <w:top w:val="single" w:sz="4" w:space="0" w:color="auto"/>
              <w:left w:val="single" w:sz="4" w:space="0" w:color="auto"/>
              <w:bottom w:val="single" w:sz="4" w:space="0" w:color="auto"/>
              <w:right w:val="single" w:sz="4" w:space="0" w:color="auto"/>
            </w:tcBorders>
          </w:tcPr>
          <w:p w14:paraId="27A509BA" w14:textId="77777777" w:rsidR="00374075" w:rsidRPr="00B42351" w:rsidRDefault="00092279" w:rsidP="007116E2">
            <w:pPr>
              <w:rPr>
                <w:bCs/>
              </w:rPr>
            </w:pPr>
            <w:r w:rsidRPr="00B42351">
              <w:rPr>
                <w:bCs/>
              </w:rPr>
              <w:t>Oximeter device for measuring blood oxygen levels noninvasively</w:t>
            </w:r>
          </w:p>
        </w:tc>
      </w:tr>
      <w:tr w:rsidR="00374075" w:rsidRPr="00B42351" w14:paraId="7A58E9F8"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32DBFC39" w14:textId="77777777" w:rsidR="00374075" w:rsidRPr="00B42351" w:rsidRDefault="00092279" w:rsidP="007116E2">
            <w:pPr>
              <w:rPr>
                <w:bCs/>
              </w:rPr>
            </w:pPr>
            <w:r w:rsidRPr="00B42351">
              <w:rPr>
                <w:bCs/>
              </w:rPr>
              <w:t>E1390</w:t>
            </w:r>
          </w:p>
        </w:tc>
        <w:tc>
          <w:tcPr>
            <w:tcW w:w="8511" w:type="dxa"/>
            <w:tcBorders>
              <w:top w:val="single" w:sz="4" w:space="0" w:color="auto"/>
              <w:left w:val="single" w:sz="4" w:space="0" w:color="auto"/>
              <w:bottom w:val="single" w:sz="4" w:space="0" w:color="auto"/>
              <w:right w:val="single" w:sz="4" w:space="0" w:color="auto"/>
            </w:tcBorders>
          </w:tcPr>
          <w:p w14:paraId="3C67EF6D" w14:textId="77777777" w:rsidR="00374075" w:rsidRPr="00B42351" w:rsidRDefault="00642D4A" w:rsidP="007116E2">
            <w:pPr>
              <w:rPr>
                <w:bCs/>
              </w:rPr>
            </w:pPr>
            <w:r w:rsidRPr="00B42351">
              <w:rPr>
                <w:bCs/>
              </w:rPr>
              <w:t>Oxygen concentrator, single delivery port, capable of delivering 85 percent or greater oxygen concentration at the prescribed flow rate</w:t>
            </w:r>
          </w:p>
        </w:tc>
      </w:tr>
      <w:tr w:rsidR="00374075" w:rsidRPr="00B42351" w14:paraId="48767245"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4014CE9F" w14:textId="77777777" w:rsidR="00374075" w:rsidRPr="00B42351" w:rsidRDefault="00092279" w:rsidP="007116E2">
            <w:pPr>
              <w:rPr>
                <w:bCs/>
              </w:rPr>
            </w:pPr>
            <w:r w:rsidRPr="00B42351">
              <w:rPr>
                <w:bCs/>
              </w:rPr>
              <w:t>E1391</w:t>
            </w:r>
          </w:p>
        </w:tc>
        <w:tc>
          <w:tcPr>
            <w:tcW w:w="8511" w:type="dxa"/>
            <w:tcBorders>
              <w:top w:val="single" w:sz="4" w:space="0" w:color="auto"/>
              <w:left w:val="single" w:sz="4" w:space="0" w:color="auto"/>
              <w:bottom w:val="single" w:sz="4" w:space="0" w:color="auto"/>
              <w:right w:val="single" w:sz="4" w:space="0" w:color="auto"/>
            </w:tcBorders>
          </w:tcPr>
          <w:p w14:paraId="79478998" w14:textId="77777777" w:rsidR="00374075" w:rsidRPr="00B42351" w:rsidRDefault="00642D4A" w:rsidP="007116E2">
            <w:pPr>
              <w:rPr>
                <w:bCs/>
              </w:rPr>
            </w:pPr>
            <w:r w:rsidRPr="00B42351">
              <w:rPr>
                <w:bCs/>
              </w:rPr>
              <w:t>Oxygen concentrator, dual delivery port, capable of delivering 85 percent or greater oxygen concentration at the prescribed flow rate, each</w:t>
            </w:r>
          </w:p>
        </w:tc>
      </w:tr>
      <w:tr w:rsidR="00092279" w:rsidRPr="00B42351" w14:paraId="08B9D6BB"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030AAA32" w14:textId="77777777" w:rsidR="00092279" w:rsidRPr="00B42351" w:rsidRDefault="00092279" w:rsidP="007116E2">
            <w:pPr>
              <w:rPr>
                <w:bCs/>
              </w:rPr>
            </w:pPr>
            <w:r w:rsidRPr="00B42351">
              <w:rPr>
                <w:bCs/>
              </w:rPr>
              <w:t>E1392</w:t>
            </w:r>
          </w:p>
        </w:tc>
        <w:tc>
          <w:tcPr>
            <w:tcW w:w="8511" w:type="dxa"/>
            <w:tcBorders>
              <w:top w:val="single" w:sz="4" w:space="0" w:color="auto"/>
              <w:left w:val="single" w:sz="4" w:space="0" w:color="auto"/>
              <w:bottom w:val="single" w:sz="4" w:space="0" w:color="auto"/>
              <w:right w:val="single" w:sz="4" w:space="0" w:color="auto"/>
            </w:tcBorders>
          </w:tcPr>
          <w:p w14:paraId="4B2FED92" w14:textId="77777777" w:rsidR="00092279" w:rsidRPr="00B42351" w:rsidRDefault="00642D4A" w:rsidP="007116E2">
            <w:pPr>
              <w:rPr>
                <w:bCs/>
              </w:rPr>
            </w:pPr>
            <w:r w:rsidRPr="00B42351">
              <w:rPr>
                <w:bCs/>
              </w:rPr>
              <w:t>Portable oxygen concentrator, rental</w:t>
            </w:r>
          </w:p>
        </w:tc>
      </w:tr>
      <w:tr w:rsidR="00092279" w:rsidRPr="00B42351" w14:paraId="198E0B23"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5C6F827F" w14:textId="77777777" w:rsidR="00092279" w:rsidRPr="00B42351" w:rsidRDefault="00092279" w:rsidP="007116E2">
            <w:pPr>
              <w:rPr>
                <w:bCs/>
              </w:rPr>
            </w:pPr>
            <w:r w:rsidRPr="00B42351">
              <w:rPr>
                <w:bCs/>
              </w:rPr>
              <w:lastRenderedPageBreak/>
              <w:t>E1405</w:t>
            </w:r>
          </w:p>
        </w:tc>
        <w:tc>
          <w:tcPr>
            <w:tcW w:w="8511" w:type="dxa"/>
            <w:tcBorders>
              <w:top w:val="single" w:sz="4" w:space="0" w:color="auto"/>
              <w:left w:val="single" w:sz="4" w:space="0" w:color="auto"/>
              <w:bottom w:val="single" w:sz="4" w:space="0" w:color="auto"/>
              <w:right w:val="single" w:sz="4" w:space="0" w:color="auto"/>
            </w:tcBorders>
          </w:tcPr>
          <w:p w14:paraId="3CEE35AD" w14:textId="77777777" w:rsidR="00092279" w:rsidRPr="00B42351" w:rsidRDefault="00642D4A" w:rsidP="007116E2">
            <w:pPr>
              <w:rPr>
                <w:bCs/>
              </w:rPr>
            </w:pPr>
            <w:r w:rsidRPr="00B42351">
              <w:rPr>
                <w:bCs/>
              </w:rPr>
              <w:t>Oxygen and water vapor enriching system with heated delivery</w:t>
            </w:r>
          </w:p>
        </w:tc>
      </w:tr>
      <w:tr w:rsidR="00092279" w:rsidRPr="00B42351" w14:paraId="79BB4B70"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794DF6A8" w14:textId="77777777" w:rsidR="00092279" w:rsidRPr="00B42351" w:rsidRDefault="00092279" w:rsidP="007116E2">
            <w:pPr>
              <w:rPr>
                <w:bCs/>
              </w:rPr>
            </w:pPr>
            <w:r w:rsidRPr="00B42351">
              <w:rPr>
                <w:bCs/>
              </w:rPr>
              <w:t>E1406</w:t>
            </w:r>
          </w:p>
        </w:tc>
        <w:tc>
          <w:tcPr>
            <w:tcW w:w="8511" w:type="dxa"/>
            <w:tcBorders>
              <w:top w:val="single" w:sz="4" w:space="0" w:color="auto"/>
              <w:left w:val="single" w:sz="4" w:space="0" w:color="auto"/>
              <w:bottom w:val="single" w:sz="4" w:space="0" w:color="auto"/>
              <w:right w:val="single" w:sz="4" w:space="0" w:color="auto"/>
            </w:tcBorders>
          </w:tcPr>
          <w:p w14:paraId="3EFC8D08" w14:textId="77777777" w:rsidR="00092279" w:rsidRPr="00B42351" w:rsidRDefault="00642D4A" w:rsidP="007116E2">
            <w:pPr>
              <w:rPr>
                <w:bCs/>
              </w:rPr>
            </w:pPr>
            <w:r w:rsidRPr="00B42351">
              <w:rPr>
                <w:bCs/>
              </w:rPr>
              <w:t>Oxygen and water vapor enriching system without heated delivery</w:t>
            </w:r>
          </w:p>
        </w:tc>
      </w:tr>
      <w:tr w:rsidR="00374075" w:rsidRPr="00B42351" w14:paraId="706D5F7B"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2149F83B" w14:textId="77777777" w:rsidR="00374075" w:rsidRPr="00B42351" w:rsidRDefault="00092279" w:rsidP="007116E2">
            <w:pPr>
              <w:rPr>
                <w:bCs/>
              </w:rPr>
            </w:pPr>
            <w:r w:rsidRPr="00B42351">
              <w:rPr>
                <w:bCs/>
              </w:rPr>
              <w:t>K0738</w:t>
            </w:r>
          </w:p>
        </w:tc>
        <w:tc>
          <w:tcPr>
            <w:tcW w:w="8511" w:type="dxa"/>
            <w:tcBorders>
              <w:top w:val="single" w:sz="4" w:space="0" w:color="auto"/>
              <w:left w:val="single" w:sz="4" w:space="0" w:color="auto"/>
              <w:bottom w:val="single" w:sz="4" w:space="0" w:color="auto"/>
              <w:right w:val="single" w:sz="4" w:space="0" w:color="auto"/>
            </w:tcBorders>
          </w:tcPr>
          <w:p w14:paraId="2DC4C2AE" w14:textId="77777777" w:rsidR="00374075" w:rsidRPr="00B42351" w:rsidRDefault="00642D4A" w:rsidP="007116E2">
            <w:pPr>
              <w:rPr>
                <w:bCs/>
              </w:rPr>
            </w:pPr>
            <w:r w:rsidRPr="00B42351">
              <w:rPr>
                <w:bCs/>
              </w:rPr>
              <w:t>Portable gaseous oxygen system, rental; home compressor used to fill portable oxygen cylinders; includes portable containers, regulator, flowmeter, humidifier, cannula or mask, and tubing</w:t>
            </w:r>
          </w:p>
        </w:tc>
      </w:tr>
      <w:tr w:rsidR="00374075" w:rsidRPr="00B42351" w14:paraId="3F70A23F"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2EF4DC75" w14:textId="77777777" w:rsidR="00374075" w:rsidRPr="00B42351" w:rsidRDefault="00092279" w:rsidP="007116E2">
            <w:pPr>
              <w:rPr>
                <w:bCs/>
              </w:rPr>
            </w:pPr>
            <w:r w:rsidRPr="00B42351">
              <w:rPr>
                <w:bCs/>
              </w:rPr>
              <w:t>S8120</w:t>
            </w:r>
          </w:p>
        </w:tc>
        <w:tc>
          <w:tcPr>
            <w:tcW w:w="8511" w:type="dxa"/>
            <w:tcBorders>
              <w:top w:val="single" w:sz="4" w:space="0" w:color="auto"/>
              <w:left w:val="single" w:sz="4" w:space="0" w:color="auto"/>
              <w:bottom w:val="single" w:sz="4" w:space="0" w:color="auto"/>
              <w:right w:val="single" w:sz="4" w:space="0" w:color="auto"/>
            </w:tcBorders>
          </w:tcPr>
          <w:p w14:paraId="02BA4834" w14:textId="77777777" w:rsidR="00374075" w:rsidRPr="00B42351" w:rsidRDefault="00092279" w:rsidP="007116E2">
            <w:pPr>
              <w:rPr>
                <w:bCs/>
              </w:rPr>
            </w:pPr>
            <w:r w:rsidRPr="00B42351">
              <w:rPr>
                <w:bCs/>
              </w:rPr>
              <w:t>Oxygen contents, gaseous, 1 unit equals 1 cubic foot</w:t>
            </w:r>
          </w:p>
        </w:tc>
      </w:tr>
      <w:tr w:rsidR="00374075" w:rsidRPr="00B42351" w14:paraId="6AE12894" w14:textId="77777777" w:rsidTr="00374075">
        <w:trPr>
          <w:trHeight w:val="323"/>
        </w:trPr>
        <w:tc>
          <w:tcPr>
            <w:tcW w:w="1114" w:type="dxa"/>
            <w:tcBorders>
              <w:top w:val="single" w:sz="4" w:space="0" w:color="auto"/>
              <w:left w:val="single" w:sz="4" w:space="0" w:color="auto"/>
              <w:bottom w:val="single" w:sz="4" w:space="0" w:color="auto"/>
              <w:right w:val="single" w:sz="4" w:space="0" w:color="auto"/>
            </w:tcBorders>
          </w:tcPr>
          <w:p w14:paraId="5F0D1CEF" w14:textId="77777777" w:rsidR="00374075" w:rsidRPr="00B42351" w:rsidRDefault="00092279" w:rsidP="007116E2">
            <w:pPr>
              <w:rPr>
                <w:bCs/>
              </w:rPr>
            </w:pPr>
            <w:r w:rsidRPr="00B42351">
              <w:rPr>
                <w:bCs/>
              </w:rPr>
              <w:t>S8121</w:t>
            </w:r>
          </w:p>
        </w:tc>
        <w:tc>
          <w:tcPr>
            <w:tcW w:w="8511" w:type="dxa"/>
            <w:tcBorders>
              <w:top w:val="single" w:sz="4" w:space="0" w:color="auto"/>
              <w:left w:val="single" w:sz="4" w:space="0" w:color="auto"/>
              <w:bottom w:val="single" w:sz="4" w:space="0" w:color="auto"/>
              <w:right w:val="single" w:sz="4" w:space="0" w:color="auto"/>
            </w:tcBorders>
          </w:tcPr>
          <w:p w14:paraId="151BE9B3" w14:textId="77777777" w:rsidR="00374075" w:rsidRPr="00B42351" w:rsidRDefault="00092279" w:rsidP="007116E2">
            <w:pPr>
              <w:rPr>
                <w:bCs/>
              </w:rPr>
            </w:pPr>
            <w:r w:rsidRPr="00B42351">
              <w:rPr>
                <w:bCs/>
              </w:rPr>
              <w:t xml:space="preserve">Oxygen contents, liquid, 1 unit equals 1 pound  </w:t>
            </w:r>
          </w:p>
        </w:tc>
      </w:tr>
    </w:tbl>
    <w:p w14:paraId="5ADEAA94" w14:textId="77777777" w:rsidR="00721C72" w:rsidRPr="00B42351" w:rsidRDefault="00721C72" w:rsidP="00721C72">
      <w:pPr>
        <w:rPr>
          <w:sz w:val="20"/>
        </w:rPr>
      </w:pPr>
    </w:p>
    <w:p w14:paraId="2B42D080" w14:textId="77777777" w:rsidR="00350F22" w:rsidRPr="00B42351" w:rsidRDefault="00350F22" w:rsidP="00AF5490"/>
    <w:tbl>
      <w:tblPr>
        <w:tblStyle w:val="LightList-Accent1"/>
        <w:tblpPr w:leftFromText="180" w:rightFromText="180" w:vertAnchor="text" w:tblpY="1"/>
        <w:tblOverlap w:val="never"/>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280"/>
        <w:gridCol w:w="1108"/>
        <w:gridCol w:w="1260"/>
      </w:tblGrid>
      <w:tr w:rsidR="008C01CA" w:rsidRPr="00B42351" w14:paraId="5D5878F7" w14:textId="77777777" w:rsidTr="00C32BFE">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280" w:type="dxa"/>
            <w:shd w:val="clear" w:color="auto" w:fill="00548C"/>
          </w:tcPr>
          <w:p w14:paraId="2F0F5484" w14:textId="77777777" w:rsidR="00B777AF" w:rsidRPr="00B42351" w:rsidRDefault="00B777AF">
            <w:pPr>
              <w:rPr>
                <w:bCs w:val="0"/>
              </w:rPr>
            </w:pPr>
            <w:bookmarkStart w:id="3" w:name="Revision_Log"/>
            <w:r w:rsidRPr="00B42351">
              <w:rPr>
                <w:bCs w:val="0"/>
              </w:rPr>
              <w:t>Reviews, Revisions, and Approvals</w:t>
            </w:r>
            <w:bookmarkEnd w:id="3"/>
          </w:p>
        </w:tc>
        <w:tc>
          <w:tcPr>
            <w:tcW w:w="1108" w:type="dxa"/>
            <w:shd w:val="clear" w:color="auto" w:fill="00548C"/>
          </w:tcPr>
          <w:p w14:paraId="7A2A1647" w14:textId="77777777" w:rsidR="00B777AF" w:rsidRPr="00B42351" w:rsidRDefault="00013D6C">
            <w:pPr>
              <w:jc w:val="center"/>
              <w:cnfStyle w:val="100000000000" w:firstRow="1" w:lastRow="0" w:firstColumn="0" w:lastColumn="0" w:oddVBand="0" w:evenVBand="0" w:oddHBand="0" w:evenHBand="0" w:firstRowFirstColumn="0" w:firstRowLastColumn="0" w:lastRowFirstColumn="0" w:lastRowLastColumn="0"/>
              <w:rPr>
                <w:bCs w:val="0"/>
              </w:rPr>
            </w:pPr>
            <w:r>
              <w:rPr>
                <w:bCs w:val="0"/>
              </w:rPr>
              <w:t xml:space="preserve">Revision </w:t>
            </w:r>
            <w:r w:rsidR="00B777AF" w:rsidRPr="00B42351">
              <w:rPr>
                <w:bCs w:val="0"/>
              </w:rPr>
              <w:t>Date</w:t>
            </w:r>
          </w:p>
        </w:tc>
        <w:tc>
          <w:tcPr>
            <w:cnfStyle w:val="000010000000" w:firstRow="0" w:lastRow="0" w:firstColumn="0" w:lastColumn="0" w:oddVBand="1" w:evenVBand="0" w:oddHBand="0" w:evenHBand="0" w:firstRowFirstColumn="0" w:firstRowLastColumn="0" w:lastRowFirstColumn="0" w:lastRowLastColumn="0"/>
            <w:tcW w:w="1260" w:type="dxa"/>
            <w:shd w:val="clear" w:color="auto" w:fill="00548C"/>
          </w:tcPr>
          <w:p w14:paraId="3BA5A930" w14:textId="77777777" w:rsidR="00B777AF" w:rsidRPr="00B42351" w:rsidRDefault="001818D7">
            <w:pPr>
              <w:jc w:val="center"/>
              <w:rPr>
                <w:bCs w:val="0"/>
              </w:rPr>
            </w:pPr>
            <w:r w:rsidRPr="00B42351">
              <w:rPr>
                <w:bCs w:val="0"/>
              </w:rPr>
              <w:t>Approval</w:t>
            </w:r>
            <w:r w:rsidR="00B777AF" w:rsidRPr="00B42351">
              <w:rPr>
                <w:bCs w:val="0"/>
              </w:rPr>
              <w:t xml:space="preserve"> Date</w:t>
            </w:r>
          </w:p>
        </w:tc>
      </w:tr>
      <w:tr w:rsidR="004E0D7A" w:rsidRPr="00B42351" w14:paraId="3FF62077" w14:textId="77777777" w:rsidTr="006B1E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80" w:type="dxa"/>
          </w:tcPr>
          <w:p w14:paraId="26259677" w14:textId="77777777" w:rsidR="000E68D6" w:rsidRDefault="003E4855">
            <w:pPr>
              <w:tabs>
                <w:tab w:val="num" w:pos="720"/>
              </w:tabs>
            </w:pPr>
            <w:r w:rsidRPr="00B50522">
              <w:t>Converted corporate to local policy.</w:t>
            </w:r>
          </w:p>
        </w:tc>
        <w:tc>
          <w:tcPr>
            <w:tcW w:w="1108" w:type="dxa"/>
          </w:tcPr>
          <w:p w14:paraId="0B0A1AF1" w14:textId="77777777" w:rsidR="000E68D6" w:rsidRDefault="003E4855">
            <w:pPr>
              <w:jc w:val="center"/>
              <w:cnfStyle w:val="000000100000" w:firstRow="0" w:lastRow="0" w:firstColumn="0" w:lastColumn="0" w:oddVBand="0" w:evenVBand="0" w:oddHBand="1" w:evenHBand="0" w:firstRowFirstColumn="0" w:firstRowLastColumn="0" w:lastRowFirstColumn="0" w:lastRowLastColumn="0"/>
            </w:pPr>
            <w:r w:rsidRPr="00B50522">
              <w:t>08/15</w:t>
            </w:r>
            <w:r w:rsidR="000E68D6">
              <w:t>/20</w:t>
            </w:r>
          </w:p>
        </w:tc>
        <w:tc>
          <w:tcPr>
            <w:cnfStyle w:val="000010000000" w:firstRow="0" w:lastRow="0" w:firstColumn="0" w:lastColumn="0" w:oddVBand="1" w:evenVBand="0" w:oddHBand="0" w:evenHBand="0" w:firstRowFirstColumn="0" w:firstRowLastColumn="0" w:lastRowFirstColumn="0" w:lastRowLastColumn="0"/>
            <w:tcW w:w="1260" w:type="dxa"/>
          </w:tcPr>
          <w:p w14:paraId="1DB83C83" w14:textId="77777777" w:rsidR="000E68D6" w:rsidRPr="00B42351" w:rsidRDefault="000E68D6">
            <w:pPr>
              <w:jc w:val="center"/>
            </w:pPr>
          </w:p>
        </w:tc>
      </w:tr>
      <w:tr w:rsidR="008C01CA" w:rsidRPr="00B42351" w14:paraId="7B4A8D83" w14:textId="77777777" w:rsidTr="000C2DB6">
        <w:tc>
          <w:tcPr>
            <w:cnfStyle w:val="000010000000" w:firstRow="0" w:lastRow="0" w:firstColumn="0" w:lastColumn="0" w:oddVBand="1" w:evenVBand="0" w:oddHBand="0" w:evenHBand="0" w:firstRowFirstColumn="0" w:firstRowLastColumn="0" w:lastRowFirstColumn="0" w:lastRowLastColumn="0"/>
            <w:tcW w:w="7280" w:type="dxa"/>
          </w:tcPr>
          <w:p w14:paraId="60485BE1" w14:textId="77777777" w:rsidR="00C102E4" w:rsidRDefault="00C102E4">
            <w:pPr>
              <w:tabs>
                <w:tab w:val="num" w:pos="720"/>
              </w:tabs>
            </w:pPr>
            <w:r>
              <w:t xml:space="preserve">Annual review. References reviewed and updated. Background updated. </w:t>
            </w:r>
          </w:p>
          <w:p w14:paraId="52F9C118" w14:textId="77777777" w:rsidR="00FB7B32" w:rsidRDefault="00C102E4">
            <w:pPr>
              <w:tabs>
                <w:tab w:val="num" w:pos="720"/>
              </w:tabs>
            </w:pPr>
            <w:r>
              <w:t>Changed “review date” in the header to “date of last revision” and “date” in the revision log header to “revision date."</w:t>
            </w:r>
          </w:p>
          <w:p w14:paraId="5271A74F" w14:textId="77777777" w:rsidR="00376AD9" w:rsidRDefault="00376AD9">
            <w:pPr>
              <w:tabs>
                <w:tab w:val="num" w:pos="720"/>
              </w:tabs>
            </w:pPr>
            <w:r>
              <w:t>Added “may not support medical necessity” to coding implications.</w:t>
            </w:r>
          </w:p>
          <w:p w14:paraId="6D2C699F" w14:textId="77777777" w:rsidR="00C102E4" w:rsidRDefault="00C102E4">
            <w:pPr>
              <w:tabs>
                <w:tab w:val="num" w:pos="720"/>
              </w:tabs>
            </w:pPr>
            <w:r>
              <w:t>Edited portable oxygen criteria to include option for “mobile within community” in addition to “within the home.” Reorganized portable oxygen criteria within sections I and III. Added criteria for portable oxygen systems for pediatrics in sections II and IV.</w:t>
            </w:r>
          </w:p>
          <w:p w14:paraId="5BDCF67D" w14:textId="77777777" w:rsidR="0005504D" w:rsidRDefault="00C102E4">
            <w:pPr>
              <w:tabs>
                <w:tab w:val="num" w:pos="720"/>
              </w:tabs>
            </w:pPr>
            <w:r>
              <w:t>In the over 21 auth and reauth sections regarding the qualifying blood gas study for portable oxygen and concentrators, removed “for the approved stationary concentrator” for clarity.</w:t>
            </w:r>
          </w:p>
        </w:tc>
        <w:tc>
          <w:tcPr>
            <w:tcW w:w="1108" w:type="dxa"/>
          </w:tcPr>
          <w:p w14:paraId="46E911D2" w14:textId="77777777" w:rsidR="0005504D" w:rsidRDefault="00FB7B32">
            <w:pPr>
              <w:jc w:val="center"/>
              <w:cnfStyle w:val="000000000000" w:firstRow="0" w:lastRow="0" w:firstColumn="0" w:lastColumn="0" w:oddVBand="0" w:evenVBand="0" w:oddHBand="0" w:evenHBand="0" w:firstRowFirstColumn="0" w:firstRowLastColumn="0" w:lastRowFirstColumn="0" w:lastRowLastColumn="0"/>
            </w:pPr>
            <w:r>
              <w:t>2/22</w:t>
            </w:r>
          </w:p>
        </w:tc>
        <w:tc>
          <w:tcPr>
            <w:cnfStyle w:val="000010000000" w:firstRow="0" w:lastRow="0" w:firstColumn="0" w:lastColumn="0" w:oddVBand="1" w:evenVBand="0" w:oddHBand="0" w:evenHBand="0" w:firstRowFirstColumn="0" w:firstRowLastColumn="0" w:lastRowFirstColumn="0" w:lastRowLastColumn="0"/>
            <w:tcW w:w="1260" w:type="dxa"/>
          </w:tcPr>
          <w:p w14:paraId="765D7B27" w14:textId="77777777" w:rsidR="0005504D" w:rsidRDefault="000648D6">
            <w:pPr>
              <w:jc w:val="center"/>
            </w:pPr>
            <w:r>
              <w:t>4/10/22</w:t>
            </w:r>
          </w:p>
        </w:tc>
      </w:tr>
      <w:tr w:rsidR="008C01CA" w:rsidRPr="00B42351" w14:paraId="074C0BC0" w14:textId="77777777" w:rsidTr="000C2DB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80" w:type="dxa"/>
          </w:tcPr>
          <w:p w14:paraId="7623CEA7" w14:textId="21BC8855" w:rsidR="004A2E17" w:rsidRDefault="004A2E17">
            <w:pPr>
              <w:tabs>
                <w:tab w:val="num" w:pos="720"/>
              </w:tabs>
            </w:pPr>
            <w:r w:rsidRPr="004A2E17">
              <w:t xml:space="preserve">Annual review. </w:t>
            </w:r>
            <w:r w:rsidR="00F54B88">
              <w:t xml:space="preserve">Updated title from Oxygen Use and Concentrators to Outpatient Oxygen Use. Added </w:t>
            </w:r>
            <w:r w:rsidR="00EC208C">
              <w:t>“</w:t>
            </w:r>
            <w:r w:rsidR="00F54B88">
              <w:t>Note: If a medically necessary, lesser cost item exists and will suit the member/enrollee</w:t>
            </w:r>
            <w:r w:rsidR="00EC208C">
              <w:t>’</w:t>
            </w:r>
            <w:r w:rsidR="00F54B88">
              <w:t>s medical needs, a higher cost item will be denied.</w:t>
            </w:r>
            <w:r w:rsidR="00EC208C">
              <w:t>”</w:t>
            </w:r>
            <w:r w:rsidR="00F54B88">
              <w:t xml:space="preserve"> </w:t>
            </w:r>
            <w:r w:rsidR="00EC208C">
              <w:t>U</w:t>
            </w:r>
            <w:r w:rsidR="00F54B88">
              <w:t xml:space="preserve">nder the Description section. </w:t>
            </w:r>
            <w:r w:rsidR="00757463">
              <w:t>In I.A. updated “hypoxia” to “hypoxemia.”</w:t>
            </w:r>
            <w:r w:rsidR="006321B4">
              <w:t xml:space="preserve"> Updated statement and</w:t>
            </w:r>
            <w:r w:rsidR="00757463">
              <w:t xml:space="preserve"> </w:t>
            </w:r>
            <w:r w:rsidR="006321B4">
              <w:t>i</w:t>
            </w:r>
            <w:r w:rsidR="0058601F" w:rsidRPr="0058601F">
              <w:t>ncluded reference (based on CMS NCD 240.2)</w:t>
            </w:r>
            <w:r w:rsidR="0058601F" w:rsidRPr="00833346">
              <w:rPr>
                <w:vertAlign w:val="superscript"/>
              </w:rPr>
              <w:t>8</w:t>
            </w:r>
            <w:r w:rsidR="0058601F" w:rsidRPr="0058601F">
              <w:t xml:space="preserve"> to I.B.1. and I.B.2</w:t>
            </w:r>
            <w:r w:rsidR="0058601F">
              <w:t xml:space="preserve"> </w:t>
            </w:r>
            <w:r w:rsidR="00757463">
              <w:t xml:space="preserve">for clarity. In II.A. updated “hypoxia” to “hypoxemia.” </w:t>
            </w:r>
            <w:r w:rsidR="003C6C37">
              <w:t xml:space="preserve">In </w:t>
            </w:r>
            <w:r w:rsidR="00757463">
              <w:t>III.A.2. added “criteria” to (as defined in criteria section I) statement for clarity. In IV.B.2. changed Chronic hypoxemia is not expected to “improve” to “resolve.”</w:t>
            </w:r>
            <w:r w:rsidR="009B1F73">
              <w:t xml:space="preserve"> </w:t>
            </w:r>
            <w:r w:rsidR="009B1F73" w:rsidRPr="009B1F73">
              <w:t xml:space="preserve">In VI. </w:t>
            </w:r>
            <w:r w:rsidR="00EC208C" w:rsidRPr="009B1F73">
              <w:t>A</w:t>
            </w:r>
            <w:r w:rsidR="009B1F73" w:rsidRPr="009B1F73">
              <w:t xml:space="preserve">dded </w:t>
            </w:r>
            <w:r w:rsidR="00EC208C">
              <w:t>“</w:t>
            </w:r>
            <w:r w:rsidR="009B1F73" w:rsidRPr="009B1F73">
              <w:t>(i.e. cylinder of liquid or gaseous oxygen)</w:t>
            </w:r>
            <w:r w:rsidR="00EC208C">
              <w:t>”</w:t>
            </w:r>
            <w:r w:rsidR="009B1F73" w:rsidRPr="009B1F73">
              <w:t xml:space="preserve"> and related </w:t>
            </w:r>
            <w:r w:rsidR="00EC208C">
              <w:t>“</w:t>
            </w:r>
            <w:r w:rsidR="009B1F73" w:rsidRPr="009B1F73">
              <w:t xml:space="preserve">delivery </w:t>
            </w:r>
            <w:r w:rsidR="004E0D7A" w:rsidRPr="009B1F73">
              <w:t>equipment</w:t>
            </w:r>
            <w:r w:rsidR="004E0D7A">
              <w:t>”</w:t>
            </w:r>
            <w:r w:rsidR="004E0D7A" w:rsidRPr="009B1F73">
              <w:t xml:space="preserve"> ...</w:t>
            </w:r>
            <w:r w:rsidR="009B1F73" w:rsidRPr="009B1F73">
              <w:t xml:space="preserve"> for clarity</w:t>
            </w:r>
            <w:r w:rsidR="009B1F73">
              <w:t xml:space="preserve"> and r</w:t>
            </w:r>
            <w:r w:rsidRPr="004A2E17">
              <w:t>emoved age criteria “≥ 21.</w:t>
            </w:r>
            <w:r w:rsidR="009B1F73">
              <w:t>”</w:t>
            </w:r>
            <w:r w:rsidRPr="004A2E17">
              <w:t xml:space="preserve"> </w:t>
            </w:r>
            <w:r w:rsidR="006B1346" w:rsidRPr="004A2E17">
              <w:t xml:space="preserve"> Reformatted criteria in VI.A.1. and 2 for clarity. </w:t>
            </w:r>
            <w:r w:rsidRPr="004A2E17">
              <w:t>Removed VI.B. “Enrolled in clinical trial..”</w:t>
            </w:r>
            <w:r w:rsidR="006B1346">
              <w:t xml:space="preserve"> Minor </w:t>
            </w:r>
            <w:r w:rsidRPr="004A2E17">
              <w:t>rewording with no clinical significance. Background updated with no clinical significance. References reviewed and updated.</w:t>
            </w:r>
            <w:r w:rsidR="00757463">
              <w:t xml:space="preserve"> Internal and external specialist reviewed.</w:t>
            </w:r>
          </w:p>
        </w:tc>
        <w:tc>
          <w:tcPr>
            <w:tcW w:w="1108" w:type="dxa"/>
          </w:tcPr>
          <w:p w14:paraId="56BBC471" w14:textId="77777777" w:rsidR="004A2E17" w:rsidRDefault="00AA29AB">
            <w:pPr>
              <w:jc w:val="center"/>
              <w:cnfStyle w:val="000000100000" w:firstRow="0" w:lastRow="0" w:firstColumn="0" w:lastColumn="0" w:oddVBand="0" w:evenVBand="0" w:oddHBand="1" w:evenHBand="0" w:firstRowFirstColumn="0" w:firstRowLastColumn="0" w:lastRowFirstColumn="0" w:lastRowLastColumn="0"/>
            </w:pPr>
            <w:r>
              <w:t>4</w:t>
            </w:r>
            <w:r w:rsidR="004A2E17">
              <w:t>/23</w:t>
            </w:r>
          </w:p>
        </w:tc>
        <w:tc>
          <w:tcPr>
            <w:cnfStyle w:val="000010000000" w:firstRow="0" w:lastRow="0" w:firstColumn="0" w:lastColumn="0" w:oddVBand="1" w:evenVBand="0" w:oddHBand="0" w:evenHBand="0" w:firstRowFirstColumn="0" w:firstRowLastColumn="0" w:lastRowFirstColumn="0" w:lastRowLastColumn="0"/>
            <w:tcW w:w="1260" w:type="dxa"/>
          </w:tcPr>
          <w:p w14:paraId="591EA27A" w14:textId="58C6F188" w:rsidR="004A2E17" w:rsidRDefault="00166FE9">
            <w:pPr>
              <w:jc w:val="center"/>
            </w:pPr>
            <w:r>
              <w:t>7/10</w:t>
            </w:r>
            <w:r w:rsidR="000E73AF">
              <w:t>/23</w:t>
            </w:r>
          </w:p>
        </w:tc>
      </w:tr>
      <w:tr w:rsidR="00F41E1C" w:rsidRPr="00B42351" w14:paraId="7C20A7EB" w14:textId="77777777" w:rsidTr="00C32BFE">
        <w:tc>
          <w:tcPr>
            <w:cnfStyle w:val="000010000000" w:firstRow="0" w:lastRow="0" w:firstColumn="0" w:lastColumn="0" w:oddVBand="1" w:evenVBand="0" w:oddHBand="0" w:evenHBand="0" w:firstRowFirstColumn="0" w:firstRowLastColumn="0" w:lastRowFirstColumn="0" w:lastRowLastColumn="0"/>
            <w:tcW w:w="7280" w:type="dxa"/>
          </w:tcPr>
          <w:p w14:paraId="0B6B67AC" w14:textId="13D4BD1B" w:rsidR="00F41E1C" w:rsidRPr="004A2E17" w:rsidRDefault="00F41E1C" w:rsidP="00F54B88">
            <w:pPr>
              <w:tabs>
                <w:tab w:val="num" w:pos="720"/>
              </w:tabs>
            </w:pPr>
            <w:r>
              <w:t>Annual review.</w:t>
            </w:r>
            <w:r w:rsidR="000F41AE">
              <w:t xml:space="preserve"> </w:t>
            </w:r>
            <w:r w:rsidR="00EC208C">
              <w:t xml:space="preserve"> Updated all </w:t>
            </w:r>
            <w:r w:rsidR="0066186F">
              <w:t xml:space="preserve">criteria </w:t>
            </w:r>
            <w:r w:rsidR="00EC208C">
              <w:t>instances of "blood gas study" to include "or pulse oximetry measurement" and all instances of</w:t>
            </w:r>
            <w:r w:rsidR="0066186F" w:rsidRPr="00EC208C">
              <w:t xml:space="preserve"> </w:t>
            </w:r>
            <w:r w:rsidR="0066186F">
              <w:t>“</w:t>
            </w:r>
            <w:r w:rsidR="0066186F" w:rsidRPr="00EC208C">
              <w:t>arterial oxygen saturation</w:t>
            </w:r>
            <w:r w:rsidR="0066186F">
              <w:t xml:space="preserve">” to include “(or pulse oximetry)”. </w:t>
            </w:r>
            <w:r w:rsidR="001155DF">
              <w:t>Updated numbering</w:t>
            </w:r>
            <w:r w:rsidR="007051F4">
              <w:t xml:space="preserve"> throughout policy. </w:t>
            </w:r>
            <w:r w:rsidR="00070C19">
              <w:t xml:space="preserve">Added </w:t>
            </w:r>
            <w:r w:rsidR="007051F4">
              <w:t xml:space="preserve">Section </w:t>
            </w:r>
            <w:r w:rsidR="00070C19">
              <w:t>B</w:t>
            </w:r>
            <w:r w:rsidR="001155DF">
              <w:t xml:space="preserve">. in section I. </w:t>
            </w:r>
            <w:r w:rsidR="000F41AE" w:rsidRPr="000F41AE">
              <w:t>Minor rewording in Criteria I. Added clarifying language to Criteria I.</w:t>
            </w:r>
            <w:r w:rsidR="001155DF">
              <w:t>C</w:t>
            </w:r>
            <w:r w:rsidR="000F41AE" w:rsidRPr="000F41AE">
              <w:t xml:space="preserve">.1.a. regarding </w:t>
            </w:r>
            <w:r w:rsidR="000F41AE" w:rsidRPr="000F41AE">
              <w:lastRenderedPageBreak/>
              <w:t xml:space="preserve">breathing room air. </w:t>
            </w:r>
            <w:r w:rsidR="006977B7">
              <w:t xml:space="preserve">In I. </w:t>
            </w:r>
            <w:r w:rsidR="007051F4">
              <w:t>C.</w:t>
            </w:r>
            <w:r w:rsidR="006977B7">
              <w:t>.1.b., I.</w:t>
            </w:r>
            <w:r w:rsidR="007051F4">
              <w:t>C.</w:t>
            </w:r>
            <w:r w:rsidR="006977B7">
              <w:t>.1.c., and I.</w:t>
            </w:r>
            <w:r w:rsidR="007051F4">
              <w:t>C.</w:t>
            </w:r>
            <w:r w:rsidR="006977B7">
              <w:t xml:space="preserve">.2.a., removed the requirement that the measurement is taken after 5 minutes of sleep vs. during sleep. </w:t>
            </w:r>
            <w:r w:rsidR="00D26B13">
              <w:t xml:space="preserve">Removed </w:t>
            </w:r>
            <w:r w:rsidR="007051F4">
              <w:t xml:space="preserve">I.C. and </w:t>
            </w:r>
            <w:r w:rsidR="000F41AE" w:rsidRPr="000F41AE">
              <w:t>I.D.</w:t>
            </w:r>
            <w:r w:rsidR="00D26B13">
              <w:t xml:space="preserve"> </w:t>
            </w:r>
            <w:r w:rsidR="003D5BC0">
              <w:t xml:space="preserve">Removed I.E. regarding alternative treatments. </w:t>
            </w:r>
            <w:r w:rsidR="00D26B13">
              <w:t>Removed</w:t>
            </w:r>
            <w:r w:rsidR="004F5B76">
              <w:t xml:space="preserve"> section</w:t>
            </w:r>
            <w:r w:rsidR="00D26B13">
              <w:t xml:space="preserve"> </w:t>
            </w:r>
            <w:r w:rsidR="000F41AE" w:rsidRPr="000F41AE">
              <w:t>II</w:t>
            </w:r>
            <w:r w:rsidR="004F5B76">
              <w:t xml:space="preserve">. </w:t>
            </w:r>
            <w:r w:rsidR="00AA6729" w:rsidRPr="00AA6729">
              <w:t xml:space="preserve">Minor rewording in Criteria III.A.3.a. and Criteria III.A.3.b. </w:t>
            </w:r>
            <w:r w:rsidR="00D23731">
              <w:t xml:space="preserve"> Added B. and C sections to II. Regarding requests for portable oxygen systems </w:t>
            </w:r>
            <w:r w:rsidR="00F9400D">
              <w:t xml:space="preserve">Added </w:t>
            </w:r>
            <w:r w:rsidR="00D23731">
              <w:t xml:space="preserve">B. and C sections to III. Regarding </w:t>
            </w:r>
            <w:r w:rsidR="00D23731" w:rsidRPr="00794042">
              <w:t xml:space="preserve">requests for portable oxygen systems. </w:t>
            </w:r>
            <w:r w:rsidR="00756765">
              <w:t xml:space="preserve">Added </w:t>
            </w:r>
            <w:r w:rsidR="00907580">
              <w:t xml:space="preserve">new </w:t>
            </w:r>
            <w:r w:rsidR="00756765">
              <w:t>section IV.</w:t>
            </w:r>
            <w:r w:rsidR="00907580">
              <w:t xml:space="preserve"> </w:t>
            </w:r>
            <w:r w:rsidR="00AA6729" w:rsidRPr="00794042">
              <w:t>Minor rewording to Criteria V.B.1. Clarifying language added to Criteria V.C. regarding the absence of systemic hypoxemia. Added Criteria V.E. to include terminal illnesses that do not affect the ability to breathe. Minor rewording in Criteria V. Added Criteria V.A.3. to include frequency of headache attacks. Background updated with no impact on criteria. References reviewed and updated.</w:t>
            </w:r>
          </w:p>
        </w:tc>
        <w:tc>
          <w:tcPr>
            <w:tcW w:w="1108" w:type="dxa"/>
          </w:tcPr>
          <w:p w14:paraId="3274D753" w14:textId="249ED5F3" w:rsidR="00F41E1C" w:rsidRDefault="00F41E1C">
            <w:pPr>
              <w:jc w:val="center"/>
              <w:cnfStyle w:val="000000000000" w:firstRow="0" w:lastRow="0" w:firstColumn="0" w:lastColumn="0" w:oddVBand="0" w:evenVBand="0" w:oddHBand="0" w:evenHBand="0" w:firstRowFirstColumn="0" w:firstRowLastColumn="0" w:lastRowFirstColumn="0" w:lastRowLastColumn="0"/>
            </w:pPr>
            <w:r>
              <w:lastRenderedPageBreak/>
              <w:t>0</w:t>
            </w:r>
            <w:r w:rsidR="00B2358C">
              <w:t>2</w:t>
            </w:r>
            <w:r>
              <w:t>/24</w:t>
            </w:r>
          </w:p>
        </w:tc>
        <w:tc>
          <w:tcPr>
            <w:cnfStyle w:val="000010000000" w:firstRow="0" w:lastRow="0" w:firstColumn="0" w:lastColumn="0" w:oddVBand="1" w:evenVBand="0" w:oddHBand="0" w:evenHBand="0" w:firstRowFirstColumn="0" w:firstRowLastColumn="0" w:lastRowFirstColumn="0" w:lastRowLastColumn="0"/>
            <w:tcW w:w="1260" w:type="dxa"/>
          </w:tcPr>
          <w:p w14:paraId="47755A94" w14:textId="510B58BC" w:rsidR="00F41E1C" w:rsidRDefault="00502B36" w:rsidP="004E0D7A">
            <w:r>
              <w:t>6/5/24</w:t>
            </w:r>
          </w:p>
        </w:tc>
      </w:tr>
      <w:tr w:rsidR="005D38E1" w:rsidRPr="00B42351" w14:paraId="27A20CB5" w14:textId="77777777" w:rsidTr="00C32BF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80" w:type="dxa"/>
          </w:tcPr>
          <w:p w14:paraId="307385DC" w14:textId="52E8F967" w:rsidR="005D38E1" w:rsidRDefault="005D38E1" w:rsidP="00290D09">
            <w:pPr>
              <w:autoSpaceDE w:val="0"/>
              <w:autoSpaceDN w:val="0"/>
              <w:adjustRightInd w:val="0"/>
            </w:pPr>
            <w:r w:rsidRPr="007C6118">
              <w:t>Added</w:t>
            </w:r>
            <w:r w:rsidR="007C6118" w:rsidRPr="00290D09">
              <w:t xml:space="preserve"> Requirements for Medical Oxygen Providers and Retailers</w:t>
            </w:r>
            <w:r w:rsidR="007C6118">
              <w:t xml:space="preserve"> under background </w:t>
            </w:r>
            <w:r w:rsidR="00F3738E">
              <w:t xml:space="preserve">per </w:t>
            </w:r>
            <w:r w:rsidR="00502B36">
              <w:t>IB 24-41.</w:t>
            </w:r>
          </w:p>
        </w:tc>
        <w:tc>
          <w:tcPr>
            <w:tcW w:w="1108" w:type="dxa"/>
          </w:tcPr>
          <w:p w14:paraId="5AE31280" w14:textId="7F5477AE" w:rsidR="005D38E1" w:rsidRDefault="00502B36">
            <w:pPr>
              <w:jc w:val="center"/>
              <w:cnfStyle w:val="000000100000" w:firstRow="0" w:lastRow="0" w:firstColumn="0" w:lastColumn="0" w:oddVBand="0" w:evenVBand="0" w:oddHBand="1" w:evenHBand="0" w:firstRowFirstColumn="0" w:firstRowLastColumn="0" w:lastRowFirstColumn="0" w:lastRowLastColumn="0"/>
            </w:pPr>
            <w:r>
              <w:t>11/24</w:t>
            </w:r>
          </w:p>
        </w:tc>
        <w:tc>
          <w:tcPr>
            <w:cnfStyle w:val="000010000000" w:firstRow="0" w:lastRow="0" w:firstColumn="0" w:lastColumn="0" w:oddVBand="1" w:evenVBand="0" w:oddHBand="0" w:evenHBand="0" w:firstRowFirstColumn="0" w:firstRowLastColumn="0" w:lastRowFirstColumn="0" w:lastRowLastColumn="0"/>
            <w:tcW w:w="1260" w:type="dxa"/>
          </w:tcPr>
          <w:p w14:paraId="5449A093" w14:textId="77777777" w:rsidR="005D38E1" w:rsidRDefault="005D38E1" w:rsidP="004E0D7A"/>
        </w:tc>
      </w:tr>
    </w:tbl>
    <w:p w14:paraId="0BD6DF81" w14:textId="77777777" w:rsidR="00B777AF" w:rsidRPr="006B1E21" w:rsidRDefault="00B777AF" w:rsidP="00B777AF">
      <w:pPr>
        <w:pStyle w:val="Heading6"/>
        <w:tabs>
          <w:tab w:val="clear" w:pos="0"/>
        </w:tabs>
      </w:pPr>
    </w:p>
    <w:p w14:paraId="4D491887" w14:textId="77777777" w:rsidR="0061080B" w:rsidRPr="00B42351" w:rsidRDefault="003F3D44" w:rsidP="00DF7593">
      <w:pPr>
        <w:pStyle w:val="Heading3"/>
      </w:pPr>
      <w:r w:rsidRPr="00B42351">
        <w:t>References</w:t>
      </w:r>
    </w:p>
    <w:p w14:paraId="083EC385" w14:textId="5640D182" w:rsidR="004A2E17" w:rsidRPr="00900E56" w:rsidRDefault="00F27152" w:rsidP="008C01CA">
      <w:pPr>
        <w:numPr>
          <w:ilvl w:val="0"/>
          <w:numId w:val="24"/>
        </w:numPr>
      </w:pPr>
      <w:bookmarkStart w:id="4" w:name="_Hlk125960450"/>
      <w:r>
        <w:t>American Association for Respiratory Care</w:t>
      </w:r>
      <w:r w:rsidR="00432B67">
        <w:t xml:space="preserve">. </w:t>
      </w:r>
      <w:r w:rsidR="003254CC" w:rsidRPr="003254CC">
        <w:t>AARC clinical practice guideline</w:t>
      </w:r>
      <w:r w:rsidR="003254CC">
        <w:t xml:space="preserve">: </w:t>
      </w:r>
      <w:r w:rsidR="004A2E17" w:rsidRPr="00B42351">
        <w:t>Oxygen therapy in the home or alternate site health care facility</w:t>
      </w:r>
      <w:r w:rsidR="003C0008">
        <w:t xml:space="preserve"> – 2007 revision </w:t>
      </w:r>
      <w:r w:rsidR="0076764A">
        <w:t>&amp;</w:t>
      </w:r>
      <w:r w:rsidR="003C0008">
        <w:t xml:space="preserve"> update</w:t>
      </w:r>
      <w:r w:rsidR="004A2E17" w:rsidRPr="00B42351">
        <w:t xml:space="preserve">. </w:t>
      </w:r>
      <w:r w:rsidR="002A1647">
        <w:t>AAR</w:t>
      </w:r>
      <w:r w:rsidR="00F14653">
        <w:t>C</w:t>
      </w:r>
      <w:r w:rsidR="002A1647">
        <w:t>; 2007</w:t>
      </w:r>
      <w:r w:rsidR="004A2E17" w:rsidRPr="00B42351">
        <w:t xml:space="preserve">. </w:t>
      </w:r>
      <w:hyperlink r:id="rId18" w:history="1">
        <w:r w:rsidR="004A2E17" w:rsidRPr="006B1E21">
          <w:rPr>
            <w:rStyle w:val="Hyperlink"/>
          </w:rPr>
          <w:t>https://www.aarc.org/wp-content/uploads/2014/08/08.07.1063.pdf</w:t>
        </w:r>
      </w:hyperlink>
      <w:r w:rsidR="004A2E17" w:rsidRPr="00B42351">
        <w:t xml:space="preserve">. Published </w:t>
      </w:r>
      <w:r w:rsidR="00E01052">
        <w:t xml:space="preserve">August </w:t>
      </w:r>
      <w:r w:rsidR="004A2E17" w:rsidRPr="00B42351">
        <w:t xml:space="preserve">2007. Accessed </w:t>
      </w:r>
      <w:r w:rsidR="004A2E17">
        <w:t>December</w:t>
      </w:r>
      <w:r w:rsidR="00E01052">
        <w:t xml:space="preserve"> 07</w:t>
      </w:r>
      <w:r w:rsidR="004A2E17">
        <w:t>, 202</w:t>
      </w:r>
      <w:r w:rsidR="00E01052">
        <w:t>3</w:t>
      </w:r>
      <w:r w:rsidR="004A2E17" w:rsidRPr="00B42351">
        <w:t xml:space="preserve">.  </w:t>
      </w:r>
    </w:p>
    <w:p w14:paraId="6ADF7BF0" w14:textId="403639BA" w:rsidR="004A2E17" w:rsidRPr="00900E56" w:rsidRDefault="004A2E17">
      <w:pPr>
        <w:numPr>
          <w:ilvl w:val="0"/>
          <w:numId w:val="24"/>
        </w:numPr>
      </w:pPr>
      <w:r w:rsidRPr="00900E56">
        <w:t xml:space="preserve">Theodore AC. Measures of oxygenation and mechanisms of hypoxemia. UpToDate. </w:t>
      </w:r>
      <w:hyperlink r:id="rId19" w:history="1">
        <w:r w:rsidRPr="00900E56">
          <w:rPr>
            <w:rStyle w:val="Hyperlink"/>
          </w:rPr>
          <w:t>www.uptodate.com</w:t>
        </w:r>
      </w:hyperlink>
      <w:r w:rsidRPr="00900E56">
        <w:t xml:space="preserve">. Published </w:t>
      </w:r>
      <w:r w:rsidR="00F326D0" w:rsidRPr="00900E56">
        <w:t>August 15, 2023</w:t>
      </w:r>
      <w:r w:rsidR="00FD3D03" w:rsidRPr="00900E56">
        <w:t xml:space="preserve">. </w:t>
      </w:r>
      <w:r w:rsidRPr="00900E56">
        <w:t xml:space="preserve">Accessed </w:t>
      </w:r>
      <w:r w:rsidR="00FD3D03" w:rsidRPr="00900E56">
        <w:t>November 22, 2023</w:t>
      </w:r>
      <w:r w:rsidRPr="00900E56">
        <w:t>.</w:t>
      </w:r>
      <w:r w:rsidR="00FD3D03" w:rsidRPr="00900E56">
        <w:t xml:space="preserve"> </w:t>
      </w:r>
    </w:p>
    <w:p w14:paraId="1AA28FFD" w14:textId="296CB565" w:rsidR="004A2E17" w:rsidRPr="00900E56" w:rsidRDefault="004A2E17">
      <w:pPr>
        <w:numPr>
          <w:ilvl w:val="0"/>
          <w:numId w:val="24"/>
        </w:numPr>
      </w:pPr>
      <w:r w:rsidRPr="00900E56">
        <w:t>Carter R</w:t>
      </w:r>
      <w:r w:rsidR="00893E46" w:rsidRPr="00900E56">
        <w:t>, Nwasuruba C</w:t>
      </w:r>
      <w:r w:rsidRPr="00900E56">
        <w:t xml:space="preserve">. Long-term supplemental oxygen therapy. UpToDate. </w:t>
      </w:r>
      <w:hyperlink r:id="rId20" w:history="1">
        <w:r w:rsidRPr="00900E56">
          <w:rPr>
            <w:rStyle w:val="Hyperlink"/>
          </w:rPr>
          <w:t>www.uptodate.com</w:t>
        </w:r>
      </w:hyperlink>
      <w:r w:rsidRPr="00900E56">
        <w:t xml:space="preserve">. Published </w:t>
      </w:r>
      <w:r w:rsidR="00F14374" w:rsidRPr="00900E56">
        <w:t>July 10, 2023</w:t>
      </w:r>
      <w:r w:rsidRPr="00900E56">
        <w:t xml:space="preserve">. Accessed December </w:t>
      </w:r>
      <w:r w:rsidR="00F14374" w:rsidRPr="00900E56">
        <w:t>07</w:t>
      </w:r>
      <w:r w:rsidRPr="00900E56">
        <w:t>, 202</w:t>
      </w:r>
      <w:r w:rsidR="00F14374" w:rsidRPr="00900E56">
        <w:t>3</w:t>
      </w:r>
      <w:r w:rsidRPr="00900E56">
        <w:t>.</w:t>
      </w:r>
      <w:r w:rsidR="00F14374" w:rsidRPr="00900E56">
        <w:t xml:space="preserve"> </w:t>
      </w:r>
    </w:p>
    <w:p w14:paraId="697AA2AB" w14:textId="22F86AC0" w:rsidR="004A2E17" w:rsidRDefault="00724813">
      <w:pPr>
        <w:numPr>
          <w:ilvl w:val="0"/>
          <w:numId w:val="24"/>
        </w:numPr>
      </w:pPr>
      <w:r w:rsidRPr="00724813">
        <w:t>Jacobs SS, Krishnan JA, Lederer DJ, et al. Home Oxygen Therapy for Adults with Chronic Lung Disease. An Official American Thoracic Society Clinical Practice Guideline [published correction appears in Am J Respir Crit Care Med. 2021 Apr 15;203(8):1045</w:t>
      </w:r>
      <w:r>
        <w:t xml:space="preserve"> to </w:t>
      </w:r>
      <w:r w:rsidRPr="00724813">
        <w:t>1046]. </w:t>
      </w:r>
      <w:r w:rsidRPr="00724813">
        <w:rPr>
          <w:i/>
          <w:iCs/>
        </w:rPr>
        <w:t>Am J Respir Crit Care Med</w:t>
      </w:r>
      <w:r w:rsidRPr="00724813">
        <w:t>. 2020;202(10):e121</w:t>
      </w:r>
      <w:r>
        <w:t xml:space="preserve"> to </w:t>
      </w:r>
      <w:r w:rsidRPr="00724813">
        <w:t>e141. doi:10.1164/rccm.202009-3608ST</w:t>
      </w:r>
      <w:r>
        <w:t xml:space="preserve"> </w:t>
      </w:r>
    </w:p>
    <w:p w14:paraId="20BF5815" w14:textId="72E44A07" w:rsidR="004A2E17" w:rsidRDefault="006E59C3">
      <w:pPr>
        <w:numPr>
          <w:ilvl w:val="0"/>
          <w:numId w:val="24"/>
        </w:numPr>
      </w:pPr>
      <w:r w:rsidRPr="006E59C3">
        <w:t>Hayes D Jr, Wilson KC, Krivchenia K, et al. Home Oxygen Therapy for Children. An Official American Thoracic Society Clinical Practice Guideline. </w:t>
      </w:r>
      <w:r w:rsidRPr="006E59C3">
        <w:rPr>
          <w:i/>
          <w:iCs/>
        </w:rPr>
        <w:t>Am J Respir Crit Care Med</w:t>
      </w:r>
      <w:r w:rsidRPr="006E59C3">
        <w:t>. 2019;199(3):e5</w:t>
      </w:r>
      <w:r>
        <w:t xml:space="preserve"> to </w:t>
      </w:r>
      <w:r w:rsidRPr="006E59C3">
        <w:t>e23. doi:10.1164/rccm.201812-2276ST</w:t>
      </w:r>
      <w:r w:rsidR="00751314">
        <w:t xml:space="preserve"> </w:t>
      </w:r>
    </w:p>
    <w:p w14:paraId="67A2EEED" w14:textId="7AD2085E" w:rsidR="004A2E17" w:rsidRPr="006409CD" w:rsidRDefault="004A2E17">
      <w:pPr>
        <w:numPr>
          <w:ilvl w:val="0"/>
          <w:numId w:val="24"/>
        </w:numPr>
      </w:pPr>
      <w:r w:rsidRPr="000E35BA">
        <w:t>Nagler J. Continuous oxygen delivery systems for the acute care of infants, children, and adults. U</w:t>
      </w:r>
      <w:r>
        <w:t xml:space="preserve">pToDate. </w:t>
      </w:r>
      <w:hyperlink r:id="rId21" w:history="1">
        <w:r w:rsidRPr="009C066D">
          <w:rPr>
            <w:rStyle w:val="Hyperlink"/>
          </w:rPr>
          <w:t>www.uptodate.com</w:t>
        </w:r>
      </w:hyperlink>
      <w:r>
        <w:t>. Published</w:t>
      </w:r>
      <w:r w:rsidRPr="000E35BA">
        <w:t xml:space="preserve"> July </w:t>
      </w:r>
      <w:r w:rsidR="00501A8A">
        <w:t>19</w:t>
      </w:r>
      <w:r w:rsidRPr="000E35BA">
        <w:t>, 202</w:t>
      </w:r>
      <w:r w:rsidR="00501A8A">
        <w:t>3</w:t>
      </w:r>
      <w:r w:rsidRPr="006409CD">
        <w:t xml:space="preserve">Accessed December </w:t>
      </w:r>
      <w:r w:rsidR="00BA1D5E" w:rsidRPr="006409CD">
        <w:t>07</w:t>
      </w:r>
      <w:r w:rsidRPr="006409CD">
        <w:t>, 202</w:t>
      </w:r>
      <w:r w:rsidR="00BA1D5E" w:rsidRPr="006409CD">
        <w:t>3</w:t>
      </w:r>
      <w:r w:rsidRPr="006409CD">
        <w:t>.</w:t>
      </w:r>
      <w:r w:rsidR="00BA1D5E" w:rsidRPr="006409CD">
        <w:t xml:space="preserve"> </w:t>
      </w:r>
    </w:p>
    <w:p w14:paraId="70B4D702" w14:textId="114C1A4E" w:rsidR="004A2E17" w:rsidRPr="006409CD" w:rsidRDefault="004A2E17">
      <w:pPr>
        <w:numPr>
          <w:ilvl w:val="0"/>
          <w:numId w:val="24"/>
        </w:numPr>
      </w:pPr>
      <w:r w:rsidRPr="006409CD">
        <w:t xml:space="preserve">Local </w:t>
      </w:r>
      <w:r w:rsidR="00381A1B" w:rsidRPr="006409CD">
        <w:t>c</w:t>
      </w:r>
      <w:r w:rsidRPr="006409CD">
        <w:t xml:space="preserve">overage </w:t>
      </w:r>
      <w:r w:rsidR="00381A1B" w:rsidRPr="006409CD">
        <w:t>d</w:t>
      </w:r>
      <w:r w:rsidRPr="006409CD">
        <w:t>etermination: Oxygen and oxygen equipment (L33797). Centers for Medicare and Medicaid Services.</w:t>
      </w:r>
      <w:r w:rsidR="00381A1B" w:rsidRPr="006409CD">
        <w:t xml:space="preserve"> </w:t>
      </w:r>
      <w:hyperlink r:id="rId22" w:history="1">
        <w:r w:rsidR="00381A1B" w:rsidRPr="006409CD">
          <w:rPr>
            <w:rStyle w:val="Hyperlink"/>
          </w:rPr>
          <w:t>http://www.cms.hhs.gov/mcd/search.asp</w:t>
        </w:r>
      </w:hyperlink>
      <w:r w:rsidR="00381A1B" w:rsidRPr="006409CD">
        <w:t xml:space="preserve">. </w:t>
      </w:r>
      <w:r w:rsidRPr="006409CD">
        <w:t xml:space="preserve">Published October </w:t>
      </w:r>
      <w:r w:rsidR="00DB4A66" w:rsidRPr="006409CD">
        <w:t>0</w:t>
      </w:r>
      <w:r w:rsidRPr="006409CD">
        <w:t xml:space="preserve">1, 2015 (revised </w:t>
      </w:r>
      <w:r w:rsidR="00DB4A66" w:rsidRPr="006409CD">
        <w:t>April</w:t>
      </w:r>
      <w:r w:rsidRPr="006409CD">
        <w:t xml:space="preserve"> </w:t>
      </w:r>
      <w:r w:rsidR="00DB4A66" w:rsidRPr="006409CD">
        <w:t>01</w:t>
      </w:r>
      <w:r w:rsidRPr="006409CD">
        <w:t>, 202</w:t>
      </w:r>
      <w:r w:rsidR="00DB4A66" w:rsidRPr="006409CD">
        <w:t>3</w:t>
      </w:r>
      <w:r w:rsidRPr="006409CD">
        <w:t>). Accessed December 1</w:t>
      </w:r>
      <w:r w:rsidR="00DB4A66" w:rsidRPr="006409CD">
        <w:t>3</w:t>
      </w:r>
      <w:r w:rsidRPr="006409CD">
        <w:t>, 202</w:t>
      </w:r>
      <w:r w:rsidR="00DB4A66" w:rsidRPr="006409CD">
        <w:t>3</w:t>
      </w:r>
      <w:r w:rsidRPr="006409CD">
        <w:t>.</w:t>
      </w:r>
      <w:r w:rsidR="00DB4A66" w:rsidRPr="006409CD">
        <w:t xml:space="preserve"> </w:t>
      </w:r>
    </w:p>
    <w:p w14:paraId="64A94A8E" w14:textId="041931EA" w:rsidR="004A2E17" w:rsidRDefault="004A2E17" w:rsidP="004A2E17">
      <w:pPr>
        <w:numPr>
          <w:ilvl w:val="0"/>
          <w:numId w:val="24"/>
        </w:numPr>
      </w:pPr>
      <w:r w:rsidRPr="00B42351">
        <w:t xml:space="preserve">National coverage determination: home use of oxygen (240.2). Centers for </w:t>
      </w:r>
      <w:r>
        <w:t>Medicare and Medicaid Services.</w:t>
      </w:r>
      <w:r w:rsidR="006E1E55" w:rsidRPr="006E1E55">
        <w:t xml:space="preserve"> </w:t>
      </w:r>
      <w:bookmarkStart w:id="5" w:name="_Hlk153350094"/>
      <w:r w:rsidR="006E1E55" w:rsidRPr="006E1E55">
        <w:fldChar w:fldCharType="begin"/>
      </w:r>
      <w:r w:rsidR="006E1E55" w:rsidRPr="006E1E55">
        <w:instrText>HYPERLINK "http://www.cms.hhs.gov/mcd/search.asp"</w:instrText>
      </w:r>
      <w:r w:rsidR="006E1E55" w:rsidRPr="006E1E55">
        <w:fldChar w:fldCharType="separate"/>
      </w:r>
      <w:r w:rsidR="006E1E55" w:rsidRPr="006E1E55">
        <w:rPr>
          <w:rStyle w:val="Hyperlink"/>
        </w:rPr>
        <w:t>http://www.cms.hhs.gov/mcd/search.asp</w:t>
      </w:r>
      <w:r w:rsidR="006E1E55" w:rsidRPr="006E1E55">
        <w:fldChar w:fldCharType="end"/>
      </w:r>
      <w:r w:rsidR="00107B28">
        <w:t>.</w:t>
      </w:r>
      <w:r w:rsidR="006E1E55">
        <w:t xml:space="preserve"> </w:t>
      </w:r>
      <w:bookmarkEnd w:id="5"/>
      <w:r>
        <w:t xml:space="preserve">Published October 27, 1993 (revised September 27, 2021). Accessed </w:t>
      </w:r>
      <w:r w:rsidR="00A25CD7">
        <w:t>November 10, 2023</w:t>
      </w:r>
      <w:r>
        <w:t xml:space="preserve">. </w:t>
      </w:r>
    </w:p>
    <w:p w14:paraId="4D9E19E7" w14:textId="77777777" w:rsidR="00D03ABA" w:rsidRPr="00C52F83" w:rsidRDefault="00D03ABA" w:rsidP="004A2E17">
      <w:pPr>
        <w:numPr>
          <w:ilvl w:val="0"/>
          <w:numId w:val="24"/>
        </w:numPr>
      </w:pPr>
      <w:r w:rsidRPr="00D03ABA">
        <w:t xml:space="preserve">Spece LJ, Epler EM, Duan K, et al. Reassessment of Home Oxygen Prescription after Hospitalization for Chronic Obstructive Pulmonary Disease. A Potential Target for </w:t>
      </w:r>
      <w:r w:rsidRPr="00C52F83">
        <w:lastRenderedPageBreak/>
        <w:t>Deimplementation. </w:t>
      </w:r>
      <w:r w:rsidRPr="00C52F83">
        <w:rPr>
          <w:i/>
          <w:iCs/>
        </w:rPr>
        <w:t>Ann Am Thorac Soc</w:t>
      </w:r>
      <w:r w:rsidRPr="00C52F83">
        <w:t>. 2021;18(3):426 to 432. doi:10.1513/AnnalsATS.202004-364OC</w:t>
      </w:r>
    </w:p>
    <w:p w14:paraId="45549779" w14:textId="77777777" w:rsidR="00612276" w:rsidRPr="00C52F83" w:rsidRDefault="00612276" w:rsidP="004A2E17">
      <w:pPr>
        <w:numPr>
          <w:ilvl w:val="0"/>
          <w:numId w:val="24"/>
        </w:numPr>
      </w:pPr>
      <w:r w:rsidRPr="00C52F83">
        <w:t>American Headache Society</w:t>
      </w:r>
      <w:r w:rsidR="00F639F9" w:rsidRPr="00270842">
        <w:t>, American Migraine Foundation</w:t>
      </w:r>
      <w:r w:rsidRPr="00C52F83">
        <w:t>.</w:t>
      </w:r>
      <w:r w:rsidR="00F639F9" w:rsidRPr="00270842">
        <w:t xml:space="preserve"> </w:t>
      </w:r>
      <w:r w:rsidR="00F639F9" w:rsidRPr="00C52F83">
        <w:t>Our Joint Statement on Oxygen Therapy for Cluster Headache.</w:t>
      </w:r>
      <w:r w:rsidR="00C52F83">
        <w:t xml:space="preserve"> </w:t>
      </w:r>
      <w:hyperlink r:id="rId23" w:history="1">
        <w:r w:rsidR="00762ABE" w:rsidRPr="0028680D">
          <w:rPr>
            <w:rStyle w:val="Hyperlink"/>
          </w:rPr>
          <w:t>https://americanheadachesociety.org/news/ahs-amf-statement-oxygen-therapy/</w:t>
        </w:r>
      </w:hyperlink>
      <w:r w:rsidR="00762ABE">
        <w:t xml:space="preserve">. </w:t>
      </w:r>
      <w:r w:rsidR="00C52F83" w:rsidRPr="00C52F83">
        <w:t xml:space="preserve">Accessed January 10, 2024.  </w:t>
      </w:r>
    </w:p>
    <w:p w14:paraId="5943CDA7" w14:textId="77777777" w:rsidR="00612276" w:rsidRPr="009946FF" w:rsidRDefault="001F1546" w:rsidP="004A2E17">
      <w:pPr>
        <w:numPr>
          <w:ilvl w:val="0"/>
          <w:numId w:val="24"/>
        </w:numPr>
      </w:pPr>
      <w:r w:rsidRPr="00270842">
        <w:t>Headache Classification Committee of the International Headache Society (IHS) The International Classification of Headache Disorders, 3rd edition. </w:t>
      </w:r>
      <w:r w:rsidRPr="00270842">
        <w:rPr>
          <w:i/>
          <w:iCs/>
        </w:rPr>
        <w:t>Cephalalgia</w:t>
      </w:r>
      <w:r w:rsidRPr="00270842">
        <w:t>. 2018;38(1):1</w:t>
      </w:r>
      <w:r w:rsidRPr="009946FF">
        <w:t xml:space="preserve"> to </w:t>
      </w:r>
      <w:r w:rsidRPr="00270842">
        <w:t>211. doi:10.1177/0333102417738202</w:t>
      </w:r>
    </w:p>
    <w:p w14:paraId="19357190" w14:textId="77777777" w:rsidR="00775191" w:rsidRPr="009946FF" w:rsidRDefault="00365F6F" w:rsidP="004A2E17">
      <w:pPr>
        <w:numPr>
          <w:ilvl w:val="0"/>
          <w:numId w:val="24"/>
        </w:numPr>
      </w:pPr>
      <w:r w:rsidRPr="009946FF">
        <w:t>Robbins MS, Starling AJ, Pringsheim TM, Becker WJ, Schwedt TJ. Treatment of Cluster Headache: The American Headache Society Evidence-Based Guidelines. </w:t>
      </w:r>
      <w:r w:rsidRPr="009946FF">
        <w:rPr>
          <w:i/>
          <w:iCs/>
        </w:rPr>
        <w:t>Headache</w:t>
      </w:r>
      <w:r w:rsidRPr="009946FF">
        <w:t>. 2016;56(7):1093 to 1106. doi:10.1111/head.12866</w:t>
      </w:r>
    </w:p>
    <w:p w14:paraId="32525863" w14:textId="77777777" w:rsidR="005B7E3A" w:rsidRPr="009946FF" w:rsidRDefault="009946FF" w:rsidP="008C01CA">
      <w:pPr>
        <w:numPr>
          <w:ilvl w:val="0"/>
          <w:numId w:val="24"/>
        </w:numPr>
      </w:pPr>
      <w:r w:rsidRPr="009946FF">
        <w:t xml:space="preserve">National Institute for Health and Care Excellence. </w:t>
      </w:r>
      <w:r w:rsidR="00D30408" w:rsidRPr="009946FF">
        <w:t>Headaches in over 12s: diagnosis and management</w:t>
      </w:r>
      <w:r w:rsidR="00FC17FF" w:rsidRPr="009946FF">
        <w:t xml:space="preserve">. Clinical guideline [CG150]. </w:t>
      </w:r>
      <w:hyperlink r:id="rId24" w:history="1">
        <w:r w:rsidR="008D20FE" w:rsidRPr="0028680D">
          <w:rPr>
            <w:rStyle w:val="Hyperlink"/>
          </w:rPr>
          <w:t>https://www.nice.org.uk/guidance/cg150/chapter/Key-priorities-for-implementation</w:t>
        </w:r>
      </w:hyperlink>
      <w:r w:rsidR="008D20FE">
        <w:t xml:space="preserve">. </w:t>
      </w:r>
      <w:r w:rsidR="00FC17FF" w:rsidRPr="009946FF">
        <w:t xml:space="preserve"> Published September 19, 2012 (Updated December 17, 2021). </w:t>
      </w:r>
      <w:r>
        <w:t xml:space="preserve">Accessed January 10, 2024. </w:t>
      </w:r>
    </w:p>
    <w:bookmarkEnd w:id="4"/>
    <w:p w14:paraId="1C1594D9" w14:textId="77777777" w:rsidR="008E12B0" w:rsidRPr="00B42351" w:rsidRDefault="008E12B0"/>
    <w:p w14:paraId="02FC1C3B" w14:textId="77777777" w:rsidR="00DD6ADB" w:rsidRPr="006B1E21" w:rsidRDefault="00C06257" w:rsidP="00146C6E">
      <w:pPr>
        <w:rPr>
          <w:rFonts w:eastAsiaTheme="minorHAnsi"/>
          <w:b/>
          <w:u w:val="single"/>
        </w:rPr>
      </w:pPr>
      <w:bookmarkStart w:id="6" w:name="Important_Reminder"/>
      <w:r w:rsidRPr="006B1E21">
        <w:rPr>
          <w:rFonts w:eastAsiaTheme="minorHAnsi"/>
          <w:b/>
          <w:u w:val="single"/>
        </w:rPr>
        <w:t>Important R</w:t>
      </w:r>
      <w:r w:rsidR="005D7B81" w:rsidRPr="006B1E21">
        <w:rPr>
          <w:rFonts w:eastAsiaTheme="minorHAnsi"/>
          <w:b/>
          <w:u w:val="single"/>
        </w:rPr>
        <w:t>eminder</w:t>
      </w:r>
      <w:bookmarkEnd w:id="6"/>
    </w:p>
    <w:p w14:paraId="1CD3BD48" w14:textId="77777777" w:rsidR="00DD6ADB" w:rsidRPr="00B42351" w:rsidRDefault="00DD6ADB" w:rsidP="00146C6E">
      <w:pPr>
        <w:rPr>
          <w:rFonts w:eastAsiaTheme="minorHAnsi"/>
        </w:rPr>
      </w:pPr>
      <w:r w:rsidRPr="00B42351">
        <w:rPr>
          <w:rFonts w:eastAsiaTheme="minorHAnsi"/>
        </w:rPr>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sidR="003E4855" w:rsidRPr="00B50522">
        <w:rPr>
          <w:iCs/>
        </w:rPr>
        <w:t>LHCC</w:t>
      </w:r>
      <w:r w:rsidRPr="00B42351">
        <w:rPr>
          <w:rFonts w:eastAsiaTheme="minorHAnsi"/>
        </w:rPr>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w:t>
      </w:r>
    </w:p>
    <w:p w14:paraId="02112F55" w14:textId="77777777" w:rsidR="00DD6ADB" w:rsidRPr="00B42351" w:rsidRDefault="00DD6ADB" w:rsidP="00146C6E">
      <w:pPr>
        <w:rPr>
          <w:rFonts w:eastAsiaTheme="minorHAnsi"/>
        </w:rPr>
      </w:pPr>
    </w:p>
    <w:p w14:paraId="68516E86" w14:textId="77777777" w:rsidR="00DD6ADB" w:rsidRPr="00B42351" w:rsidRDefault="00DD6ADB" w:rsidP="00146C6E">
      <w:pPr>
        <w:rPr>
          <w:rFonts w:eastAsiaTheme="minorHAnsi"/>
        </w:rPr>
      </w:pPr>
      <w:r w:rsidRPr="00B42351">
        <w:rPr>
          <w:rFonts w:eastAsiaTheme="minorHAnsi"/>
        </w:rPr>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w:t>
      </w:r>
      <w:r w:rsidR="003E4855" w:rsidRPr="00B50522">
        <w:t xml:space="preserve">LHCC </w:t>
      </w:r>
      <w:r w:rsidRPr="00B42351">
        <w:rPr>
          <w:rFonts w:eastAsiaTheme="minorHAnsi"/>
        </w:rPr>
        <w:t xml:space="preserve"> administrative policies and procedures.   </w:t>
      </w:r>
    </w:p>
    <w:p w14:paraId="1709EFB0" w14:textId="77777777" w:rsidR="00DD6ADB" w:rsidRPr="00B42351" w:rsidRDefault="00DD6ADB" w:rsidP="00146C6E">
      <w:pPr>
        <w:rPr>
          <w:rFonts w:eastAsiaTheme="minorHAnsi"/>
        </w:rPr>
      </w:pPr>
    </w:p>
    <w:p w14:paraId="733CF7B8" w14:textId="77777777" w:rsidR="00DD6ADB" w:rsidRPr="00B42351" w:rsidRDefault="00DD6ADB" w:rsidP="00146C6E">
      <w:pPr>
        <w:rPr>
          <w:color w:val="002868"/>
        </w:rPr>
      </w:pPr>
      <w:r w:rsidRPr="00B42351">
        <w:rPr>
          <w:rFonts w:eastAsiaTheme="minorHAnsi"/>
        </w:rPr>
        <w:t xml:space="preserve">This clinical policy is effective as of the date determined by </w:t>
      </w:r>
      <w:r w:rsidR="003E4855" w:rsidRPr="00B50522">
        <w:t>LHCC.</w:t>
      </w:r>
      <w:r w:rsidRPr="00B42351">
        <w:rPr>
          <w:rFonts w:eastAsiaTheme="minorHAnsi"/>
        </w:rPr>
        <w:t xml:space="preserve">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w:t>
      </w:r>
      <w:r w:rsidR="003E4855" w:rsidRPr="00B50522">
        <w:t>LHCC</w:t>
      </w:r>
      <w:r w:rsidRPr="00B42351">
        <w:rPr>
          <w:rFonts w:eastAsiaTheme="minorHAnsi"/>
        </w:rPr>
        <w:t xml:space="preserve"> retains the right to change, amend or withdraw this clinical policy, and additional clinical policies may be developed and adopted as needed, at any time.</w:t>
      </w:r>
    </w:p>
    <w:p w14:paraId="04F8444F" w14:textId="77777777" w:rsidR="00DD6ADB" w:rsidRPr="00B42351" w:rsidRDefault="00DD6ADB" w:rsidP="00146C6E">
      <w:pPr>
        <w:rPr>
          <w:rFonts w:eastAsiaTheme="minorHAnsi"/>
        </w:rPr>
      </w:pPr>
    </w:p>
    <w:p w14:paraId="436144EB" w14:textId="022BEE5F" w:rsidR="00DD6ADB" w:rsidRPr="00B42351" w:rsidRDefault="00DD6ADB" w:rsidP="00146C6E">
      <w:pPr>
        <w:rPr>
          <w:rFonts w:eastAsiaTheme="minorHAnsi"/>
        </w:rPr>
      </w:pPr>
      <w:r w:rsidRPr="00B42351">
        <w:rPr>
          <w:rFonts w:eastAsiaTheme="minorHAnsi"/>
        </w:rPr>
        <w:t xml:space="preserve">This clinical policy does not constitute medical advice, medical treatment or medical care. It is not intended to dictate to providers how to practice medicine. Providers are expected to exercise professional medical judgment in providing the most appropriate care, and are solely responsible </w:t>
      </w:r>
      <w:r w:rsidRPr="00B42351">
        <w:rPr>
          <w:rFonts w:eastAsiaTheme="minorHAnsi"/>
        </w:rPr>
        <w:lastRenderedPageBreak/>
        <w:t xml:space="preserve">for the medical advice and treatment of </w:t>
      </w:r>
      <w:r w:rsidR="0023174D">
        <w:rPr>
          <w:rFonts w:eastAsiaTheme="minorHAnsi"/>
        </w:rPr>
        <w:t>members/enrollees</w:t>
      </w:r>
      <w:r w:rsidRPr="00B42351">
        <w:rPr>
          <w:rFonts w:eastAsiaTheme="minorHAnsi"/>
        </w:rPr>
        <w:t xml:space="preserve">. This clinical policy is not intended to recommend treatment for </w:t>
      </w:r>
      <w:r w:rsidR="0023174D">
        <w:rPr>
          <w:rFonts w:eastAsiaTheme="minorHAnsi"/>
        </w:rPr>
        <w:t>members/enrollees</w:t>
      </w:r>
      <w:r w:rsidRPr="00B42351">
        <w:rPr>
          <w:rFonts w:eastAsiaTheme="minorHAnsi"/>
        </w:rPr>
        <w:t xml:space="preserve">. </w:t>
      </w:r>
      <w:r w:rsidR="0023174D">
        <w:rPr>
          <w:rFonts w:eastAsiaTheme="minorHAnsi"/>
        </w:rPr>
        <w:t>Members/enrollees</w:t>
      </w:r>
      <w:r w:rsidRPr="00B42351">
        <w:rPr>
          <w:rFonts w:eastAsiaTheme="minorHAnsi"/>
        </w:rPr>
        <w:t xml:space="preserve"> should consult with their treating physician in connection with diagnosis and treatment decisions. </w:t>
      </w:r>
    </w:p>
    <w:p w14:paraId="059DCA62" w14:textId="77777777" w:rsidR="00DD6ADB" w:rsidRPr="00B42351" w:rsidRDefault="00DD6ADB" w:rsidP="00146C6E">
      <w:pPr>
        <w:rPr>
          <w:rFonts w:eastAsiaTheme="minorHAnsi"/>
        </w:rPr>
      </w:pPr>
    </w:p>
    <w:p w14:paraId="1169D15E" w14:textId="6A645FC4" w:rsidR="00DD6ADB" w:rsidRPr="00B42351" w:rsidRDefault="00DD6ADB" w:rsidP="00146C6E">
      <w:pPr>
        <w:rPr>
          <w:rFonts w:eastAsiaTheme="minorHAnsi"/>
        </w:rPr>
      </w:pPr>
      <w:r w:rsidRPr="00B42351">
        <w:rPr>
          <w:rFonts w:eastAsiaTheme="minorHAnsi"/>
        </w:rPr>
        <w:t xml:space="preserve">Providers referred to in this clinical policy are independent contractors who exercise independent judgment and over whom </w:t>
      </w:r>
      <w:r w:rsidR="003E4855" w:rsidRPr="00B50522">
        <w:t>LHCC</w:t>
      </w:r>
      <w:r w:rsidRPr="00B42351">
        <w:rPr>
          <w:rFonts w:eastAsiaTheme="minorHAnsi"/>
        </w:rPr>
        <w:t xml:space="preserve"> has no control or right of control. Providers are not agents or employees of </w:t>
      </w:r>
      <w:r w:rsidR="003E4855" w:rsidRPr="00B50522">
        <w:t>LHCC</w:t>
      </w:r>
      <w:r w:rsidRPr="00B42351">
        <w:rPr>
          <w:rFonts w:eastAsiaTheme="minorHAnsi"/>
        </w:rPr>
        <w:t>.</w:t>
      </w:r>
    </w:p>
    <w:p w14:paraId="2391CCBB" w14:textId="77777777" w:rsidR="00DD6ADB" w:rsidRPr="00B42351" w:rsidRDefault="00DD6ADB" w:rsidP="00146C6E">
      <w:pPr>
        <w:rPr>
          <w:rFonts w:eastAsiaTheme="minorHAnsi"/>
        </w:rPr>
      </w:pPr>
    </w:p>
    <w:p w14:paraId="2B67E3A6" w14:textId="27BAD752" w:rsidR="00DD6ADB" w:rsidRPr="00B42351" w:rsidRDefault="00DD6ADB" w:rsidP="00146C6E">
      <w:pPr>
        <w:rPr>
          <w:rFonts w:eastAsiaTheme="minorHAnsi"/>
        </w:rPr>
      </w:pPr>
      <w:r w:rsidRPr="00B42351">
        <w:rPr>
          <w:rFonts w:eastAsiaTheme="minorHAnsi"/>
        </w:rPr>
        <w:t xml:space="preserve">This clinical policy is the property of </w:t>
      </w:r>
      <w:r w:rsidR="003E4855" w:rsidRPr="00B50522">
        <w:rPr>
          <w:iCs/>
        </w:rPr>
        <w:t>LHCC</w:t>
      </w:r>
      <w:r w:rsidRPr="00B42351">
        <w:rPr>
          <w:rFonts w:eastAsiaTheme="minorHAnsi"/>
        </w:rPr>
        <w:t xml:space="preserve">. Unauthorized copying, use, and distribution of this clinical policy or any information contained herein are strictly prohibited.  Providers, </w:t>
      </w:r>
      <w:r w:rsidR="0023174D">
        <w:rPr>
          <w:rFonts w:eastAsiaTheme="minorHAnsi"/>
        </w:rPr>
        <w:t>members/enrollees</w:t>
      </w:r>
      <w:r w:rsidRPr="00B42351">
        <w:rPr>
          <w:rFonts w:eastAsiaTheme="minorHAnsi"/>
        </w:rPr>
        <w:t xml:space="preserve"> and their representatives are bound to the terms and conditions expressed herein through the terms of their contracts. Where no such contract exists, providers, </w:t>
      </w:r>
      <w:r w:rsidR="0023174D">
        <w:rPr>
          <w:rFonts w:eastAsiaTheme="minorHAnsi"/>
        </w:rPr>
        <w:t>members/enrollees</w:t>
      </w:r>
      <w:r w:rsidRPr="00B42351">
        <w:rPr>
          <w:rFonts w:eastAsiaTheme="minorHAnsi"/>
        </w:rPr>
        <w:t xml:space="preserve"> and their representatives agree to be bound by such terms and conditions by providing services to </w:t>
      </w:r>
      <w:r w:rsidR="0023174D">
        <w:rPr>
          <w:rFonts w:eastAsiaTheme="minorHAnsi"/>
        </w:rPr>
        <w:t>members/enrollees</w:t>
      </w:r>
      <w:r w:rsidRPr="00B42351">
        <w:rPr>
          <w:rFonts w:eastAsiaTheme="minorHAnsi"/>
        </w:rPr>
        <w:t xml:space="preserve"> and/or submitting claims for payment for such services.  </w:t>
      </w:r>
    </w:p>
    <w:p w14:paraId="4B95163E" w14:textId="77777777" w:rsidR="00DD6ADB" w:rsidRPr="006B1E21" w:rsidRDefault="00DD6ADB" w:rsidP="006B1E21">
      <w:pPr>
        <w:autoSpaceDE w:val="0"/>
        <w:autoSpaceDN w:val="0"/>
        <w:adjustRightInd w:val="0"/>
        <w:rPr>
          <w:rFonts w:eastAsiaTheme="minorHAnsi"/>
          <w:color w:val="000000"/>
        </w:rPr>
      </w:pPr>
    </w:p>
    <w:p w14:paraId="3183388B" w14:textId="46178790" w:rsidR="003E4855" w:rsidRPr="00B50522" w:rsidRDefault="003E4855" w:rsidP="003E4855">
      <w:r w:rsidRPr="00B50522">
        <w:t>©202</w:t>
      </w:r>
      <w:r w:rsidR="004E0D7A">
        <w:t>4</w:t>
      </w:r>
      <w:r w:rsidRPr="00B50522">
        <w:t xml:space="preserve"> Louisiana Healthcare Connections.</w:t>
      </w:r>
      <w:r w:rsidR="00C75BD4" w:rsidRPr="00B42351">
        <w:rPr>
          <w:iCs/>
        </w:rPr>
        <w:t xml:space="preserve"> All rights reserved. All materials are exclusively owned by </w:t>
      </w:r>
      <w:r w:rsidRPr="00B50522">
        <w:t>Louisiana Healthcare Connections</w:t>
      </w:r>
      <w:r w:rsidR="00C75BD4" w:rsidRPr="00B42351">
        <w:rPr>
          <w:iCs/>
        </w:rPr>
        <w:t xml:space="preserve"> and are protected by United States copyright law and international copyright law. No part of this publication may be reproduced, copied, modified, distributed, displayed, stored in a retrieval system, transmitted in any form or by any means, or otherwise published without the prior written permission of </w:t>
      </w:r>
      <w:r w:rsidRPr="00B50522">
        <w:t>Louisiana Healthcare Connections.</w:t>
      </w:r>
      <w:r w:rsidR="00C75BD4" w:rsidRPr="00B42351">
        <w:rPr>
          <w:iCs/>
        </w:rPr>
        <w:t xml:space="preserve"> You may not alter or remove any trademark, copyright or other notice contained herein. </w:t>
      </w:r>
      <w:r w:rsidRPr="00B50522">
        <w:t>Louisiana Healthcare Connections is a</w:t>
      </w:r>
      <w:r w:rsidR="00C75BD4" w:rsidRPr="00B42351">
        <w:rPr>
          <w:iCs/>
        </w:rPr>
        <w:t xml:space="preserve"> registered trademarks exclusively owned by </w:t>
      </w:r>
      <w:r w:rsidRPr="00B50522">
        <w:t>Louisiana Healthcare Connections.</w:t>
      </w:r>
    </w:p>
    <w:p w14:paraId="121CF52E" w14:textId="77777777" w:rsidR="00C75BD4" w:rsidRPr="00B42351" w:rsidRDefault="00C75BD4" w:rsidP="00AF5490">
      <w:pPr>
        <w:rPr>
          <w:iCs/>
        </w:rPr>
      </w:pPr>
    </w:p>
    <w:sectPr w:rsidR="00C75BD4" w:rsidRPr="00B42351" w:rsidSect="00CB63DD">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A6F1" w14:textId="77777777" w:rsidR="00C47BA5" w:rsidRDefault="00C47BA5">
      <w:r>
        <w:separator/>
      </w:r>
    </w:p>
  </w:endnote>
  <w:endnote w:type="continuationSeparator" w:id="0">
    <w:p w14:paraId="17CEDE28" w14:textId="77777777" w:rsidR="00C47BA5" w:rsidRDefault="00C47BA5">
      <w:r>
        <w:continuationSeparator/>
      </w:r>
    </w:p>
  </w:endnote>
  <w:endnote w:type="continuationNotice" w:id="1">
    <w:p w14:paraId="45FD663C" w14:textId="77777777" w:rsidR="00C47BA5" w:rsidRDefault="00C47B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4E8B" w14:textId="77777777" w:rsidR="008C01CA" w:rsidRDefault="008C0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D2C2" w14:textId="77777777" w:rsidR="007116E2" w:rsidRPr="00D574CA" w:rsidRDefault="007116E2" w:rsidP="00D574CA">
    <w:pPr>
      <w:pStyle w:val="Footer"/>
      <w:jc w:val="center"/>
    </w:pPr>
    <w:r>
      <w:t xml:space="preserve">Page </w:t>
    </w:r>
    <w:r>
      <w:rPr>
        <w:b/>
        <w:bCs/>
      </w:rPr>
      <w:fldChar w:fldCharType="begin"/>
    </w:r>
    <w:r>
      <w:rPr>
        <w:b/>
        <w:bCs/>
      </w:rPr>
      <w:instrText xml:space="preserve"> PAGE </w:instrText>
    </w:r>
    <w:r>
      <w:rPr>
        <w:b/>
        <w:bCs/>
      </w:rPr>
      <w:fldChar w:fldCharType="separate"/>
    </w:r>
    <w:r w:rsidR="00E64332">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E64332">
      <w:rPr>
        <w:b/>
        <w:bCs/>
        <w:noProof/>
      </w:rPr>
      <w:t>12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E50C" w14:textId="77777777" w:rsidR="007116E2" w:rsidRDefault="007116E2" w:rsidP="002C6AAB">
    <w:pPr>
      <w:pStyle w:val="Footer"/>
      <w:jc w:val="center"/>
    </w:pPr>
    <w:r>
      <w:t xml:space="preserve">Page </w:t>
    </w:r>
    <w:r>
      <w:fldChar w:fldCharType="begin"/>
    </w:r>
    <w:r>
      <w:instrText xml:space="preserve"> PAGE   \* MERGEFORMAT </w:instrText>
    </w:r>
    <w:r>
      <w:fldChar w:fldCharType="separate"/>
    </w:r>
    <w:r w:rsidR="00E0687D">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sidR="00E0687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EC98" w14:textId="77777777" w:rsidR="00C47BA5" w:rsidRDefault="00C47BA5">
      <w:r>
        <w:separator/>
      </w:r>
    </w:p>
  </w:footnote>
  <w:footnote w:type="continuationSeparator" w:id="0">
    <w:p w14:paraId="637BD2C4" w14:textId="77777777" w:rsidR="00C47BA5" w:rsidRDefault="00C47BA5">
      <w:r>
        <w:continuationSeparator/>
      </w:r>
    </w:p>
  </w:footnote>
  <w:footnote w:type="continuationNotice" w:id="1">
    <w:p w14:paraId="72568C14" w14:textId="77777777" w:rsidR="00C47BA5" w:rsidRDefault="00C47B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0E3D" w14:textId="77777777" w:rsidR="008C01CA" w:rsidRDefault="008C0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FDE0" w14:textId="77777777" w:rsidR="007116E2" w:rsidRPr="00B777AF" w:rsidRDefault="007116E2"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Pr="00B777AF">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sidR="003E4855" w:rsidRPr="000610CE">
      <w:rPr>
        <w:rFonts w:ascii="Times New Roman Bold" w:hAnsi="Times New Roman Bold"/>
        <w:b/>
        <w:bCs/>
        <w:smallCaps/>
        <w:noProof/>
        <w:color w:val="00548C"/>
        <w:sz w:val="28"/>
      </w:rPr>
      <w:drawing>
        <wp:anchor distT="0" distB="0" distL="114300" distR="114300" simplePos="0" relativeHeight="251659264" behindDoc="0" locked="1" layoutInCell="1" allowOverlap="1" wp14:anchorId="75037FF2" wp14:editId="22506F36">
          <wp:simplePos x="0" y="0"/>
          <wp:positionH relativeFrom="margin">
            <wp:posOffset>4572000</wp:posOffset>
          </wp:positionH>
          <wp:positionV relativeFrom="margin">
            <wp:posOffset>-630555</wp:posOffset>
          </wp:positionV>
          <wp:extent cx="924560" cy="44577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924560" cy="445770"/>
                  </a:xfrm>
                  <a:prstGeom prst="rect">
                    <a:avLst/>
                  </a:prstGeom>
                </pic:spPr>
              </pic:pic>
            </a:graphicData>
          </a:graphic>
        </wp:anchor>
      </w:drawing>
    </w:r>
  </w:p>
  <w:p w14:paraId="79E85CC1" w14:textId="35822285" w:rsidR="007116E2" w:rsidRPr="00B777AF" w:rsidRDefault="00F004D7" w:rsidP="00B777AF">
    <w:pPr>
      <w:rPr>
        <w:color w:val="00548C"/>
      </w:rPr>
    </w:pPr>
    <w:r>
      <w:rPr>
        <w:rFonts w:ascii="Times New Roman Bold" w:hAnsi="Times New Roman Bold"/>
        <w:b/>
        <w:bCs/>
        <w:color w:val="00548C"/>
      </w:rPr>
      <w:t>Outpatient Oxygen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9D81" w14:textId="77777777" w:rsidR="007116E2" w:rsidRDefault="003E4855" w:rsidP="00B777AF">
    <w:pPr>
      <w:pStyle w:val="Header"/>
      <w:jc w:val="right"/>
    </w:pPr>
    <w:r w:rsidRPr="000610CE">
      <w:rPr>
        <w:rFonts w:ascii="Times New Roman Bold" w:hAnsi="Times New Roman Bold"/>
        <w:b/>
        <w:bCs/>
        <w:smallCaps/>
        <w:noProof/>
        <w:color w:val="00548C"/>
        <w:sz w:val="28"/>
      </w:rPr>
      <w:drawing>
        <wp:anchor distT="0" distB="0" distL="114300" distR="114300" simplePos="0" relativeHeight="251661312" behindDoc="0" locked="1" layoutInCell="1" allowOverlap="1" wp14:anchorId="02C72DAF" wp14:editId="2E30357E">
          <wp:simplePos x="0" y="0"/>
          <wp:positionH relativeFrom="margin">
            <wp:posOffset>4693285</wp:posOffset>
          </wp:positionH>
          <wp:positionV relativeFrom="topMargin">
            <wp:align>bottom</wp:align>
          </wp:positionV>
          <wp:extent cx="1145540" cy="552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1145540" cy="552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E93"/>
    <w:multiLevelType w:val="hybridMultilevel"/>
    <w:tmpl w:val="7A4C43B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31444FA"/>
    <w:multiLevelType w:val="hybridMultilevel"/>
    <w:tmpl w:val="79541EA6"/>
    <w:lvl w:ilvl="0" w:tplc="F85C9D98">
      <w:start w:val="1"/>
      <w:numFmt w:val="upperLetter"/>
      <w:lvlText w:val="%1."/>
      <w:lvlJc w:val="left"/>
      <w:pPr>
        <w:ind w:left="1080" w:hanging="360"/>
      </w:pPr>
      <w:rPr>
        <w:rFonts w:hint="default"/>
        <w:b w:val="0"/>
        <w:i w:val="0"/>
      </w:rPr>
    </w:lvl>
    <w:lvl w:ilvl="1" w:tplc="04090015">
      <w:start w:val="1"/>
      <w:numFmt w:val="upperLetter"/>
      <w:lvlText w:val="%2."/>
      <w:lvlJc w:val="left"/>
      <w:pPr>
        <w:ind w:left="1800" w:hanging="360"/>
      </w:pPr>
    </w:lvl>
    <w:lvl w:ilvl="2" w:tplc="0409000F">
      <w:start w:val="1"/>
      <w:numFmt w:val="decimal"/>
      <w:lvlText w:val="%3."/>
      <w:lvlJc w:val="left"/>
      <w:pPr>
        <w:ind w:left="2520" w:hanging="180"/>
      </w:pPr>
    </w:lvl>
    <w:lvl w:ilvl="3" w:tplc="04090019">
      <w:start w:val="1"/>
      <w:numFmt w:val="lowerLetter"/>
      <w:lvlText w:val="%4."/>
      <w:lvlJc w:val="left"/>
      <w:pPr>
        <w:ind w:left="3240" w:hanging="360"/>
      </w:pPr>
    </w:lvl>
    <w:lvl w:ilvl="4" w:tplc="58AADE0C">
      <w:start w:val="1"/>
      <w:numFmt w:val="lowerRoman"/>
      <w:lvlText w:val="%5."/>
      <w:lvlJc w:val="left"/>
      <w:pPr>
        <w:ind w:left="3960" w:hanging="360"/>
      </w:pPr>
      <w:rPr>
        <w:rFonts w:hint="default"/>
        <w:sz w:val="20"/>
      </w:rPr>
    </w:lvl>
    <w:lvl w:ilvl="5" w:tplc="04090017">
      <w:start w:val="1"/>
      <w:numFmt w:val="lowerLetter"/>
      <w:lvlText w:val="%6)"/>
      <w:lvlJc w:val="lef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2C65C2"/>
    <w:multiLevelType w:val="hybridMultilevel"/>
    <w:tmpl w:val="2C365D96"/>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7692F"/>
    <w:multiLevelType w:val="hybridMultilevel"/>
    <w:tmpl w:val="0BF2AB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A112FC"/>
    <w:multiLevelType w:val="hybridMultilevel"/>
    <w:tmpl w:val="F7CA80E6"/>
    <w:lvl w:ilvl="0" w:tplc="F85C9D98">
      <w:start w:val="1"/>
      <w:numFmt w:val="upperLetter"/>
      <w:lvlText w:val="%1."/>
      <w:lvlJc w:val="left"/>
      <w:pPr>
        <w:ind w:left="720" w:hanging="360"/>
      </w:pPr>
      <w:rPr>
        <w:rFonts w:hint="default"/>
        <w:b w:val="0"/>
        <w:i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58AADE0C">
      <w:start w:val="1"/>
      <w:numFmt w:val="lowerRoman"/>
      <w:lvlText w:val="%5."/>
      <w:lvlJc w:val="left"/>
      <w:pPr>
        <w:ind w:left="3600" w:hanging="360"/>
      </w:pPr>
      <w:rPr>
        <w:rFonts w:hint="default"/>
        <w:sz w:val="20"/>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B26DD"/>
    <w:multiLevelType w:val="hybridMultilevel"/>
    <w:tmpl w:val="4190B2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001E2E"/>
    <w:multiLevelType w:val="hybridMultilevel"/>
    <w:tmpl w:val="AA6EADFC"/>
    <w:lvl w:ilvl="0" w:tplc="32D6CD38">
      <w:start w:val="1"/>
      <w:numFmt w:val="bullet"/>
      <w:lvlText w:val=""/>
      <w:lvlJc w:val="left"/>
      <w:pPr>
        <w:ind w:left="1080" w:hanging="360"/>
      </w:pPr>
      <w:rPr>
        <w:rFonts w:ascii="Symbol" w:hAnsi="Symbol" w:hint="default"/>
        <w:sz w:val="22"/>
        <w:szCs w:val="22"/>
      </w:rPr>
    </w:lvl>
    <w:lvl w:ilvl="1" w:tplc="4FA8348C">
      <w:start w:val="4"/>
      <w:numFmt w:val="bullet"/>
      <w:lvlText w:val="•"/>
      <w:lvlJc w:val="left"/>
      <w:pPr>
        <w:ind w:left="1800" w:hanging="360"/>
      </w:pPr>
      <w:rPr>
        <w:rFonts w:ascii="Arial" w:eastAsia="Times New Roman" w:hAnsi="Arial"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B032237"/>
    <w:multiLevelType w:val="hybridMultilevel"/>
    <w:tmpl w:val="8A509462"/>
    <w:lvl w:ilvl="0" w:tplc="DCA412BA">
      <w:start w:val="1"/>
      <w:numFmt w:val="decimal"/>
      <w:lvlText w:val="%1."/>
      <w:lvlJc w:val="left"/>
      <w:pPr>
        <w:ind w:left="1080" w:hanging="360"/>
      </w:pPr>
      <w:rPr>
        <w:rFonts w:ascii="Times New Roman" w:hAnsi="Times New Roman" w:cs="Times New Roman" w:hint="default"/>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0B1B3816"/>
    <w:multiLevelType w:val="hybridMultilevel"/>
    <w:tmpl w:val="CCD804BA"/>
    <w:lvl w:ilvl="0" w:tplc="F85C9D98">
      <w:start w:val="1"/>
      <w:numFmt w:val="upperLetter"/>
      <w:lvlText w:val="%1."/>
      <w:lvlJc w:val="left"/>
      <w:pPr>
        <w:ind w:left="72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8E7697"/>
    <w:multiLevelType w:val="hybridMultilevel"/>
    <w:tmpl w:val="96D8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C5084"/>
    <w:multiLevelType w:val="hybridMultilevel"/>
    <w:tmpl w:val="5D4EF582"/>
    <w:lvl w:ilvl="0" w:tplc="271A82B0">
      <w:start w:val="1"/>
      <w:numFmt w:val="lowerLetter"/>
      <w:lvlText w:val="%1."/>
      <w:lvlJc w:val="left"/>
      <w:pPr>
        <w:ind w:left="1800" w:hanging="360"/>
      </w:pPr>
      <w:rPr>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31E0E99"/>
    <w:multiLevelType w:val="hybridMultilevel"/>
    <w:tmpl w:val="5FFA82B8"/>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812FDC"/>
    <w:multiLevelType w:val="hybridMultilevel"/>
    <w:tmpl w:val="B1CA37C6"/>
    <w:lvl w:ilvl="0" w:tplc="FA088A30">
      <w:start w:val="1"/>
      <w:numFmt w:val="bullet"/>
      <w:lvlText w:val=""/>
      <w:lvlJc w:val="left"/>
      <w:pPr>
        <w:ind w:left="720" w:hanging="360"/>
      </w:pPr>
      <w:rPr>
        <w:rFonts w:ascii="Symbol" w:hAnsi="Symbol"/>
      </w:rPr>
    </w:lvl>
    <w:lvl w:ilvl="1" w:tplc="D16A84E0">
      <w:start w:val="1"/>
      <w:numFmt w:val="bullet"/>
      <w:lvlText w:val=""/>
      <w:lvlJc w:val="left"/>
      <w:pPr>
        <w:ind w:left="720" w:hanging="360"/>
      </w:pPr>
      <w:rPr>
        <w:rFonts w:ascii="Symbol" w:hAnsi="Symbol"/>
      </w:rPr>
    </w:lvl>
    <w:lvl w:ilvl="2" w:tplc="0F545D5E">
      <w:start w:val="1"/>
      <w:numFmt w:val="bullet"/>
      <w:lvlText w:val=""/>
      <w:lvlJc w:val="left"/>
      <w:pPr>
        <w:ind w:left="720" w:hanging="360"/>
      </w:pPr>
      <w:rPr>
        <w:rFonts w:ascii="Symbol" w:hAnsi="Symbol"/>
      </w:rPr>
    </w:lvl>
    <w:lvl w:ilvl="3" w:tplc="688C4782">
      <w:start w:val="1"/>
      <w:numFmt w:val="bullet"/>
      <w:lvlText w:val=""/>
      <w:lvlJc w:val="left"/>
      <w:pPr>
        <w:ind w:left="720" w:hanging="360"/>
      </w:pPr>
      <w:rPr>
        <w:rFonts w:ascii="Symbol" w:hAnsi="Symbol"/>
      </w:rPr>
    </w:lvl>
    <w:lvl w:ilvl="4" w:tplc="921A52E4">
      <w:start w:val="1"/>
      <w:numFmt w:val="bullet"/>
      <w:lvlText w:val=""/>
      <w:lvlJc w:val="left"/>
      <w:pPr>
        <w:ind w:left="720" w:hanging="360"/>
      </w:pPr>
      <w:rPr>
        <w:rFonts w:ascii="Symbol" w:hAnsi="Symbol"/>
      </w:rPr>
    </w:lvl>
    <w:lvl w:ilvl="5" w:tplc="772C36CC">
      <w:start w:val="1"/>
      <w:numFmt w:val="bullet"/>
      <w:lvlText w:val=""/>
      <w:lvlJc w:val="left"/>
      <w:pPr>
        <w:ind w:left="720" w:hanging="360"/>
      </w:pPr>
      <w:rPr>
        <w:rFonts w:ascii="Symbol" w:hAnsi="Symbol"/>
      </w:rPr>
    </w:lvl>
    <w:lvl w:ilvl="6" w:tplc="BA4EC8CA">
      <w:start w:val="1"/>
      <w:numFmt w:val="bullet"/>
      <w:lvlText w:val=""/>
      <w:lvlJc w:val="left"/>
      <w:pPr>
        <w:ind w:left="720" w:hanging="360"/>
      </w:pPr>
      <w:rPr>
        <w:rFonts w:ascii="Symbol" w:hAnsi="Symbol"/>
      </w:rPr>
    </w:lvl>
    <w:lvl w:ilvl="7" w:tplc="921496AC">
      <w:start w:val="1"/>
      <w:numFmt w:val="bullet"/>
      <w:lvlText w:val=""/>
      <w:lvlJc w:val="left"/>
      <w:pPr>
        <w:ind w:left="720" w:hanging="360"/>
      </w:pPr>
      <w:rPr>
        <w:rFonts w:ascii="Symbol" w:hAnsi="Symbol"/>
      </w:rPr>
    </w:lvl>
    <w:lvl w:ilvl="8" w:tplc="EA84842C">
      <w:start w:val="1"/>
      <w:numFmt w:val="bullet"/>
      <w:lvlText w:val=""/>
      <w:lvlJc w:val="left"/>
      <w:pPr>
        <w:ind w:left="720" w:hanging="360"/>
      </w:pPr>
      <w:rPr>
        <w:rFonts w:ascii="Symbol" w:hAnsi="Symbol"/>
      </w:rPr>
    </w:lvl>
  </w:abstractNum>
  <w:abstractNum w:abstractNumId="14" w15:restartNumberingAfterBreak="0">
    <w:nsid w:val="1B9D1376"/>
    <w:multiLevelType w:val="hybridMultilevel"/>
    <w:tmpl w:val="7F5A1454"/>
    <w:lvl w:ilvl="0" w:tplc="32FA128E">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DE4839"/>
    <w:multiLevelType w:val="hybridMultilevel"/>
    <w:tmpl w:val="AD2AB6E2"/>
    <w:lvl w:ilvl="0" w:tplc="6BA87B8A">
      <w:start w:val="6"/>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E7A6984"/>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D3A45"/>
    <w:multiLevelType w:val="hybridMultilevel"/>
    <w:tmpl w:val="BFD4D19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E500B2"/>
    <w:multiLevelType w:val="hybridMultilevel"/>
    <w:tmpl w:val="CB5AF886"/>
    <w:lvl w:ilvl="0" w:tplc="6CC06064">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A01436"/>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C75F0A"/>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927B5B"/>
    <w:multiLevelType w:val="hybridMultilevel"/>
    <w:tmpl w:val="34DEB39A"/>
    <w:lvl w:ilvl="0" w:tplc="0409000F">
      <w:start w:val="1"/>
      <w:numFmt w:val="decimal"/>
      <w:lvlText w:val="%1."/>
      <w:lvlJc w:val="left"/>
      <w:pPr>
        <w:ind w:left="1440" w:hanging="360"/>
      </w:pPr>
      <w:rPr>
        <w:rFonts w:hint="default"/>
        <w:b w:val="0"/>
        <w:i w:val="0"/>
      </w:rPr>
    </w:lvl>
    <w:lvl w:ilvl="1" w:tplc="04090015">
      <w:start w:val="1"/>
      <w:numFmt w:val="upperLetter"/>
      <w:lvlText w:val="%2."/>
      <w:lvlJc w:val="left"/>
      <w:pPr>
        <w:ind w:left="2160" w:hanging="360"/>
      </w:pPr>
    </w:lvl>
    <w:lvl w:ilvl="2" w:tplc="0409000F">
      <w:start w:val="1"/>
      <w:numFmt w:val="decimal"/>
      <w:lvlText w:val="%3."/>
      <w:lvlJc w:val="left"/>
      <w:pPr>
        <w:ind w:left="2880" w:hanging="180"/>
      </w:pPr>
    </w:lvl>
    <w:lvl w:ilvl="3" w:tplc="04090019">
      <w:start w:val="1"/>
      <w:numFmt w:val="lowerLetter"/>
      <w:lvlText w:val="%4."/>
      <w:lvlJc w:val="left"/>
      <w:pPr>
        <w:ind w:left="3600" w:hanging="360"/>
      </w:pPr>
    </w:lvl>
    <w:lvl w:ilvl="4" w:tplc="58AADE0C">
      <w:start w:val="1"/>
      <w:numFmt w:val="lowerRoman"/>
      <w:lvlText w:val="%5."/>
      <w:lvlJc w:val="left"/>
      <w:pPr>
        <w:ind w:left="4320" w:hanging="360"/>
      </w:pPr>
      <w:rPr>
        <w:rFonts w:hint="default"/>
        <w:sz w:val="20"/>
      </w:rPr>
    </w:lvl>
    <w:lvl w:ilvl="5" w:tplc="04090017">
      <w:start w:val="1"/>
      <w:numFmt w:val="lowerLetter"/>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A251B1E"/>
    <w:multiLevelType w:val="hybridMultilevel"/>
    <w:tmpl w:val="B204E92A"/>
    <w:lvl w:ilvl="0" w:tplc="26CA68AC">
      <w:start w:val="1"/>
      <w:numFmt w:val="upperRoman"/>
      <w:lvlText w:val="%1."/>
      <w:lvlJc w:val="left"/>
      <w:pPr>
        <w:ind w:left="720" w:hanging="360"/>
      </w:pPr>
      <w:rPr>
        <w:rFonts w:hint="default"/>
        <w:b/>
      </w:rPr>
    </w:lvl>
    <w:lvl w:ilvl="1" w:tplc="56CC320A">
      <w:start w:val="1"/>
      <w:numFmt w:val="upperLetter"/>
      <w:lvlText w:val="%2."/>
      <w:lvlJc w:val="left"/>
      <w:pPr>
        <w:ind w:left="1440" w:hanging="360"/>
      </w:pPr>
      <w:rPr>
        <w:b/>
      </w:rPr>
    </w:lvl>
    <w:lvl w:ilvl="2" w:tplc="B0D8E88E">
      <w:start w:val="1"/>
      <w:numFmt w:val="decimal"/>
      <w:lvlText w:val="%3."/>
      <w:lvlJc w:val="left"/>
      <w:pPr>
        <w:ind w:left="2160" w:hanging="180"/>
      </w:pPr>
      <w:rPr>
        <w:b/>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A64D5D"/>
    <w:multiLevelType w:val="hybridMultilevel"/>
    <w:tmpl w:val="5434BEE4"/>
    <w:lvl w:ilvl="0" w:tplc="04090019">
      <w:start w:val="1"/>
      <w:numFmt w:val="lowerLetter"/>
      <w:lvlText w:val="%1."/>
      <w:lvlJc w:val="left"/>
      <w:pPr>
        <w:ind w:left="1440" w:hanging="360"/>
      </w:pPr>
      <w:rPr>
        <w:rFonts w:hint="default"/>
        <w:b w:val="0"/>
        <w:i w:val="0"/>
      </w:rPr>
    </w:lvl>
    <w:lvl w:ilvl="1" w:tplc="04090015">
      <w:start w:val="1"/>
      <w:numFmt w:val="upperLetter"/>
      <w:lvlText w:val="%2."/>
      <w:lvlJc w:val="left"/>
      <w:pPr>
        <w:ind w:left="2160" w:hanging="360"/>
      </w:pPr>
    </w:lvl>
    <w:lvl w:ilvl="2" w:tplc="0409000F">
      <w:start w:val="1"/>
      <w:numFmt w:val="decimal"/>
      <w:lvlText w:val="%3."/>
      <w:lvlJc w:val="left"/>
      <w:pPr>
        <w:ind w:left="2880" w:hanging="180"/>
      </w:pPr>
    </w:lvl>
    <w:lvl w:ilvl="3" w:tplc="04090019">
      <w:start w:val="1"/>
      <w:numFmt w:val="lowerLetter"/>
      <w:lvlText w:val="%4."/>
      <w:lvlJc w:val="left"/>
      <w:pPr>
        <w:ind w:left="3600" w:hanging="360"/>
      </w:pPr>
    </w:lvl>
    <w:lvl w:ilvl="4" w:tplc="58AADE0C">
      <w:start w:val="1"/>
      <w:numFmt w:val="lowerRoman"/>
      <w:lvlText w:val="%5."/>
      <w:lvlJc w:val="left"/>
      <w:pPr>
        <w:ind w:left="4320" w:hanging="360"/>
      </w:pPr>
      <w:rPr>
        <w:rFonts w:hint="default"/>
        <w:sz w:val="20"/>
      </w:rPr>
    </w:lvl>
    <w:lvl w:ilvl="5" w:tplc="04090017">
      <w:start w:val="1"/>
      <w:numFmt w:val="lowerLetter"/>
      <w:lvlText w:val="%6)"/>
      <w:lvlJc w:val="lef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1497053"/>
    <w:multiLevelType w:val="hybridMultilevel"/>
    <w:tmpl w:val="BE262E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2D5AEC"/>
    <w:multiLevelType w:val="hybridMultilevel"/>
    <w:tmpl w:val="C1880698"/>
    <w:lvl w:ilvl="0" w:tplc="F85C9D98">
      <w:start w:val="1"/>
      <w:numFmt w:val="upperLetter"/>
      <w:lvlText w:val="%1."/>
      <w:lvlJc w:val="left"/>
      <w:pPr>
        <w:ind w:left="720" w:hanging="360"/>
      </w:pPr>
      <w:rPr>
        <w:rFonts w:hint="default"/>
        <w:b w:val="0"/>
        <w:i w:val="0"/>
      </w:rPr>
    </w:lvl>
    <w:lvl w:ilvl="1" w:tplc="0409000F">
      <w:start w:val="1"/>
      <w:numFmt w:val="decimal"/>
      <w:lvlText w:val="%2."/>
      <w:lvlJc w:val="left"/>
      <w:pPr>
        <w:ind w:left="108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58AADE0C">
      <w:start w:val="1"/>
      <w:numFmt w:val="lowerRoman"/>
      <w:lvlText w:val="%5."/>
      <w:lvlJc w:val="left"/>
      <w:pPr>
        <w:ind w:left="3600" w:hanging="360"/>
      </w:pPr>
      <w:rPr>
        <w:rFonts w:hint="default"/>
        <w:sz w:val="20"/>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A8512E"/>
    <w:multiLevelType w:val="hybridMultilevel"/>
    <w:tmpl w:val="273445EA"/>
    <w:lvl w:ilvl="0" w:tplc="71AC6484">
      <w:start w:val="1"/>
      <w:numFmt w:val="bullet"/>
      <w:lvlText w:val=""/>
      <w:lvlJc w:val="left"/>
      <w:pPr>
        <w:ind w:left="720" w:hanging="360"/>
      </w:pPr>
      <w:rPr>
        <w:rFonts w:ascii="Symbol" w:hAnsi="Symbol"/>
      </w:rPr>
    </w:lvl>
    <w:lvl w:ilvl="1" w:tplc="8A7C4BCE">
      <w:start w:val="1"/>
      <w:numFmt w:val="bullet"/>
      <w:lvlText w:val=""/>
      <w:lvlJc w:val="left"/>
      <w:pPr>
        <w:ind w:left="720" w:hanging="360"/>
      </w:pPr>
      <w:rPr>
        <w:rFonts w:ascii="Symbol" w:hAnsi="Symbol"/>
      </w:rPr>
    </w:lvl>
    <w:lvl w:ilvl="2" w:tplc="A036CCAA">
      <w:start w:val="1"/>
      <w:numFmt w:val="bullet"/>
      <w:lvlText w:val=""/>
      <w:lvlJc w:val="left"/>
      <w:pPr>
        <w:ind w:left="720" w:hanging="360"/>
      </w:pPr>
      <w:rPr>
        <w:rFonts w:ascii="Symbol" w:hAnsi="Symbol"/>
      </w:rPr>
    </w:lvl>
    <w:lvl w:ilvl="3" w:tplc="4F04C6EE">
      <w:start w:val="1"/>
      <w:numFmt w:val="bullet"/>
      <w:lvlText w:val=""/>
      <w:lvlJc w:val="left"/>
      <w:pPr>
        <w:ind w:left="720" w:hanging="360"/>
      </w:pPr>
      <w:rPr>
        <w:rFonts w:ascii="Symbol" w:hAnsi="Symbol"/>
      </w:rPr>
    </w:lvl>
    <w:lvl w:ilvl="4" w:tplc="16B2338E">
      <w:start w:val="1"/>
      <w:numFmt w:val="bullet"/>
      <w:lvlText w:val=""/>
      <w:lvlJc w:val="left"/>
      <w:pPr>
        <w:ind w:left="720" w:hanging="360"/>
      </w:pPr>
      <w:rPr>
        <w:rFonts w:ascii="Symbol" w:hAnsi="Symbol"/>
      </w:rPr>
    </w:lvl>
    <w:lvl w:ilvl="5" w:tplc="18B07782">
      <w:start w:val="1"/>
      <w:numFmt w:val="bullet"/>
      <w:lvlText w:val=""/>
      <w:lvlJc w:val="left"/>
      <w:pPr>
        <w:ind w:left="720" w:hanging="360"/>
      </w:pPr>
      <w:rPr>
        <w:rFonts w:ascii="Symbol" w:hAnsi="Symbol"/>
      </w:rPr>
    </w:lvl>
    <w:lvl w:ilvl="6" w:tplc="1338B3AC">
      <w:start w:val="1"/>
      <w:numFmt w:val="bullet"/>
      <w:lvlText w:val=""/>
      <w:lvlJc w:val="left"/>
      <w:pPr>
        <w:ind w:left="720" w:hanging="360"/>
      </w:pPr>
      <w:rPr>
        <w:rFonts w:ascii="Symbol" w:hAnsi="Symbol"/>
      </w:rPr>
    </w:lvl>
    <w:lvl w:ilvl="7" w:tplc="7E945D6E">
      <w:start w:val="1"/>
      <w:numFmt w:val="bullet"/>
      <w:lvlText w:val=""/>
      <w:lvlJc w:val="left"/>
      <w:pPr>
        <w:ind w:left="720" w:hanging="360"/>
      </w:pPr>
      <w:rPr>
        <w:rFonts w:ascii="Symbol" w:hAnsi="Symbol"/>
      </w:rPr>
    </w:lvl>
    <w:lvl w:ilvl="8" w:tplc="C6845356">
      <w:start w:val="1"/>
      <w:numFmt w:val="bullet"/>
      <w:lvlText w:val=""/>
      <w:lvlJc w:val="left"/>
      <w:pPr>
        <w:ind w:left="720" w:hanging="360"/>
      </w:pPr>
      <w:rPr>
        <w:rFonts w:ascii="Symbol" w:hAnsi="Symbol"/>
      </w:rPr>
    </w:lvl>
  </w:abstractNum>
  <w:abstractNum w:abstractNumId="27" w15:restartNumberingAfterBreak="0">
    <w:nsid w:val="3586063C"/>
    <w:multiLevelType w:val="hybridMultilevel"/>
    <w:tmpl w:val="04382478"/>
    <w:lvl w:ilvl="0" w:tplc="5C220D9E">
      <w:start w:val="1"/>
      <w:numFmt w:val="decimal"/>
      <w:lvlText w:val="%1."/>
      <w:lvlJc w:val="left"/>
      <w:pPr>
        <w:ind w:left="720" w:hanging="360"/>
      </w:pPr>
      <w:rPr>
        <w:rFonts w:hint="default"/>
        <w:b w:val="0"/>
      </w:rPr>
    </w:lvl>
    <w:lvl w:ilvl="1" w:tplc="6CC0606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6B68E6"/>
    <w:multiLevelType w:val="hybridMultilevel"/>
    <w:tmpl w:val="F330294A"/>
    <w:lvl w:ilvl="0" w:tplc="D0FE5CC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393721F6"/>
    <w:multiLevelType w:val="hybridMultilevel"/>
    <w:tmpl w:val="42982D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3A231C77"/>
    <w:multiLevelType w:val="hybridMultilevel"/>
    <w:tmpl w:val="553682CE"/>
    <w:lvl w:ilvl="0" w:tplc="A244BB9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AE05544"/>
    <w:multiLevelType w:val="hybridMultilevel"/>
    <w:tmpl w:val="EB18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BE345C"/>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6843CA"/>
    <w:multiLevelType w:val="hybridMultilevel"/>
    <w:tmpl w:val="45F8CB76"/>
    <w:lvl w:ilvl="0" w:tplc="792E6CD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9A03B26"/>
    <w:multiLevelType w:val="hybridMultilevel"/>
    <w:tmpl w:val="AADC6014"/>
    <w:lvl w:ilvl="0" w:tplc="75501DEE">
      <w:start w:val="1"/>
      <w:numFmt w:val="bullet"/>
      <w:lvlText w:val=""/>
      <w:lvlJc w:val="left"/>
      <w:pPr>
        <w:ind w:left="1440" w:hanging="360"/>
      </w:pPr>
      <w:rPr>
        <w:rFonts w:ascii="Symbol" w:hAnsi="Symbol"/>
      </w:rPr>
    </w:lvl>
    <w:lvl w:ilvl="1" w:tplc="7F6E32C0">
      <w:start w:val="1"/>
      <w:numFmt w:val="bullet"/>
      <w:lvlText w:val=""/>
      <w:lvlJc w:val="left"/>
      <w:pPr>
        <w:ind w:left="1440" w:hanging="360"/>
      </w:pPr>
      <w:rPr>
        <w:rFonts w:ascii="Symbol" w:hAnsi="Symbol"/>
      </w:rPr>
    </w:lvl>
    <w:lvl w:ilvl="2" w:tplc="817A9816">
      <w:start w:val="1"/>
      <w:numFmt w:val="bullet"/>
      <w:lvlText w:val=""/>
      <w:lvlJc w:val="left"/>
      <w:pPr>
        <w:ind w:left="1440" w:hanging="360"/>
      </w:pPr>
      <w:rPr>
        <w:rFonts w:ascii="Symbol" w:hAnsi="Symbol"/>
      </w:rPr>
    </w:lvl>
    <w:lvl w:ilvl="3" w:tplc="1BEA2434">
      <w:start w:val="1"/>
      <w:numFmt w:val="bullet"/>
      <w:lvlText w:val=""/>
      <w:lvlJc w:val="left"/>
      <w:pPr>
        <w:ind w:left="1440" w:hanging="360"/>
      </w:pPr>
      <w:rPr>
        <w:rFonts w:ascii="Symbol" w:hAnsi="Symbol"/>
      </w:rPr>
    </w:lvl>
    <w:lvl w:ilvl="4" w:tplc="307C9532">
      <w:start w:val="1"/>
      <w:numFmt w:val="bullet"/>
      <w:lvlText w:val=""/>
      <w:lvlJc w:val="left"/>
      <w:pPr>
        <w:ind w:left="1440" w:hanging="360"/>
      </w:pPr>
      <w:rPr>
        <w:rFonts w:ascii="Symbol" w:hAnsi="Symbol"/>
      </w:rPr>
    </w:lvl>
    <w:lvl w:ilvl="5" w:tplc="1360CE1E">
      <w:start w:val="1"/>
      <w:numFmt w:val="bullet"/>
      <w:lvlText w:val=""/>
      <w:lvlJc w:val="left"/>
      <w:pPr>
        <w:ind w:left="1440" w:hanging="360"/>
      </w:pPr>
      <w:rPr>
        <w:rFonts w:ascii="Symbol" w:hAnsi="Symbol"/>
      </w:rPr>
    </w:lvl>
    <w:lvl w:ilvl="6" w:tplc="D348F0A4">
      <w:start w:val="1"/>
      <w:numFmt w:val="bullet"/>
      <w:lvlText w:val=""/>
      <w:lvlJc w:val="left"/>
      <w:pPr>
        <w:ind w:left="1440" w:hanging="360"/>
      </w:pPr>
      <w:rPr>
        <w:rFonts w:ascii="Symbol" w:hAnsi="Symbol"/>
      </w:rPr>
    </w:lvl>
    <w:lvl w:ilvl="7" w:tplc="70D880A6">
      <w:start w:val="1"/>
      <w:numFmt w:val="bullet"/>
      <w:lvlText w:val=""/>
      <w:lvlJc w:val="left"/>
      <w:pPr>
        <w:ind w:left="1440" w:hanging="360"/>
      </w:pPr>
      <w:rPr>
        <w:rFonts w:ascii="Symbol" w:hAnsi="Symbol"/>
      </w:rPr>
    </w:lvl>
    <w:lvl w:ilvl="8" w:tplc="DBD61BA8">
      <w:start w:val="1"/>
      <w:numFmt w:val="bullet"/>
      <w:lvlText w:val=""/>
      <w:lvlJc w:val="left"/>
      <w:pPr>
        <w:ind w:left="1440" w:hanging="360"/>
      </w:pPr>
      <w:rPr>
        <w:rFonts w:ascii="Symbol" w:hAnsi="Symbol"/>
      </w:rPr>
    </w:lvl>
  </w:abstractNum>
  <w:abstractNum w:abstractNumId="35" w15:restartNumberingAfterBreak="0">
    <w:nsid w:val="4A2B1925"/>
    <w:multiLevelType w:val="hybridMultilevel"/>
    <w:tmpl w:val="AD5E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BF36514"/>
    <w:multiLevelType w:val="hybridMultilevel"/>
    <w:tmpl w:val="06BA4FA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4DDA6008"/>
    <w:multiLevelType w:val="hybridMultilevel"/>
    <w:tmpl w:val="EF4A7AAE"/>
    <w:lvl w:ilvl="0" w:tplc="F85C9D98">
      <w:start w:val="1"/>
      <w:numFmt w:val="upperLetter"/>
      <w:lvlText w:val="%1."/>
      <w:lvlJc w:val="left"/>
      <w:pPr>
        <w:ind w:left="720" w:hanging="360"/>
      </w:pPr>
      <w:rPr>
        <w:rFonts w:hint="default"/>
        <w:b w:val="0"/>
      </w:rPr>
    </w:lvl>
    <w:lvl w:ilvl="1" w:tplc="F9F60762">
      <w:start w:val="1"/>
      <w:numFmt w:val="decimal"/>
      <w:lvlText w:val="%2."/>
      <w:lvlJc w:val="left"/>
      <w:pPr>
        <w:ind w:left="117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6A5529"/>
    <w:multiLevelType w:val="hybridMultilevel"/>
    <w:tmpl w:val="BCBAE020"/>
    <w:lvl w:ilvl="0" w:tplc="1CC047F8">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053587F"/>
    <w:multiLevelType w:val="hybridMultilevel"/>
    <w:tmpl w:val="B2168D32"/>
    <w:lvl w:ilvl="0" w:tplc="9FFCED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D365D0"/>
    <w:multiLevelType w:val="hybridMultilevel"/>
    <w:tmpl w:val="D55A7940"/>
    <w:lvl w:ilvl="0" w:tplc="F85C9D98">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0746AA"/>
    <w:multiLevelType w:val="hybridMultilevel"/>
    <w:tmpl w:val="7B9A47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97D609D"/>
    <w:multiLevelType w:val="hybridMultilevel"/>
    <w:tmpl w:val="FDBCC710"/>
    <w:lvl w:ilvl="0" w:tplc="F85C9D98">
      <w:start w:val="1"/>
      <w:numFmt w:val="upperLetter"/>
      <w:lvlText w:val="%1."/>
      <w:lvlJc w:val="left"/>
      <w:pPr>
        <w:ind w:left="720" w:hanging="360"/>
      </w:pPr>
      <w:rPr>
        <w:rFonts w:hint="default"/>
        <w:b w:val="0"/>
        <w:i w:val="0"/>
      </w:rPr>
    </w:lvl>
    <w:lvl w:ilvl="1" w:tplc="4D427558">
      <w:start w:val="1"/>
      <w:numFmt w:val="upperLetter"/>
      <w:lvlText w:val="%2."/>
      <w:lvlJc w:val="left"/>
      <w:pPr>
        <w:ind w:left="1440" w:hanging="360"/>
      </w:pPr>
      <w:rPr>
        <w:vertAlign w:val="baseline"/>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58AADE0C">
      <w:start w:val="1"/>
      <w:numFmt w:val="lowerRoman"/>
      <w:lvlText w:val="%5."/>
      <w:lvlJc w:val="left"/>
      <w:pPr>
        <w:ind w:left="3600" w:hanging="360"/>
      </w:pPr>
      <w:rPr>
        <w:rFonts w:hint="default"/>
        <w:sz w:val="20"/>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E953F1"/>
    <w:multiLevelType w:val="hybridMultilevel"/>
    <w:tmpl w:val="1BF6F4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C8B1A41"/>
    <w:multiLevelType w:val="hybridMultilevel"/>
    <w:tmpl w:val="C08E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A77A0A"/>
    <w:multiLevelType w:val="hybridMultilevel"/>
    <w:tmpl w:val="550C2A86"/>
    <w:lvl w:ilvl="0" w:tplc="B5A4EDA8">
      <w:start w:val="1"/>
      <w:numFmt w:val="bullet"/>
      <w:lvlText w:val=""/>
      <w:lvlJc w:val="left"/>
      <w:pPr>
        <w:ind w:left="720" w:hanging="360"/>
      </w:pPr>
      <w:rPr>
        <w:rFonts w:ascii="Symbol" w:hAnsi="Symbol"/>
      </w:rPr>
    </w:lvl>
    <w:lvl w:ilvl="1" w:tplc="E04C7E08">
      <w:start w:val="1"/>
      <w:numFmt w:val="bullet"/>
      <w:lvlText w:val=""/>
      <w:lvlJc w:val="left"/>
      <w:pPr>
        <w:ind w:left="720" w:hanging="360"/>
      </w:pPr>
      <w:rPr>
        <w:rFonts w:ascii="Symbol" w:hAnsi="Symbol"/>
      </w:rPr>
    </w:lvl>
    <w:lvl w:ilvl="2" w:tplc="90E29C1A">
      <w:start w:val="1"/>
      <w:numFmt w:val="bullet"/>
      <w:lvlText w:val=""/>
      <w:lvlJc w:val="left"/>
      <w:pPr>
        <w:ind w:left="720" w:hanging="360"/>
      </w:pPr>
      <w:rPr>
        <w:rFonts w:ascii="Symbol" w:hAnsi="Symbol"/>
      </w:rPr>
    </w:lvl>
    <w:lvl w:ilvl="3" w:tplc="1ADCE28A">
      <w:start w:val="1"/>
      <w:numFmt w:val="bullet"/>
      <w:lvlText w:val=""/>
      <w:lvlJc w:val="left"/>
      <w:pPr>
        <w:ind w:left="720" w:hanging="360"/>
      </w:pPr>
      <w:rPr>
        <w:rFonts w:ascii="Symbol" w:hAnsi="Symbol"/>
      </w:rPr>
    </w:lvl>
    <w:lvl w:ilvl="4" w:tplc="8C58753A">
      <w:start w:val="1"/>
      <w:numFmt w:val="bullet"/>
      <w:lvlText w:val=""/>
      <w:lvlJc w:val="left"/>
      <w:pPr>
        <w:ind w:left="720" w:hanging="360"/>
      </w:pPr>
      <w:rPr>
        <w:rFonts w:ascii="Symbol" w:hAnsi="Symbol"/>
      </w:rPr>
    </w:lvl>
    <w:lvl w:ilvl="5" w:tplc="BD223B4A">
      <w:start w:val="1"/>
      <w:numFmt w:val="bullet"/>
      <w:lvlText w:val=""/>
      <w:lvlJc w:val="left"/>
      <w:pPr>
        <w:ind w:left="720" w:hanging="360"/>
      </w:pPr>
      <w:rPr>
        <w:rFonts w:ascii="Symbol" w:hAnsi="Symbol"/>
      </w:rPr>
    </w:lvl>
    <w:lvl w:ilvl="6" w:tplc="E3502992">
      <w:start w:val="1"/>
      <w:numFmt w:val="bullet"/>
      <w:lvlText w:val=""/>
      <w:lvlJc w:val="left"/>
      <w:pPr>
        <w:ind w:left="720" w:hanging="360"/>
      </w:pPr>
      <w:rPr>
        <w:rFonts w:ascii="Symbol" w:hAnsi="Symbol"/>
      </w:rPr>
    </w:lvl>
    <w:lvl w:ilvl="7" w:tplc="1F8816C2">
      <w:start w:val="1"/>
      <w:numFmt w:val="bullet"/>
      <w:lvlText w:val=""/>
      <w:lvlJc w:val="left"/>
      <w:pPr>
        <w:ind w:left="720" w:hanging="360"/>
      </w:pPr>
      <w:rPr>
        <w:rFonts w:ascii="Symbol" w:hAnsi="Symbol"/>
      </w:rPr>
    </w:lvl>
    <w:lvl w:ilvl="8" w:tplc="6CD6AA4C">
      <w:start w:val="1"/>
      <w:numFmt w:val="bullet"/>
      <w:lvlText w:val=""/>
      <w:lvlJc w:val="left"/>
      <w:pPr>
        <w:ind w:left="720" w:hanging="360"/>
      </w:pPr>
      <w:rPr>
        <w:rFonts w:ascii="Symbol" w:hAnsi="Symbol"/>
      </w:rPr>
    </w:lvl>
  </w:abstractNum>
  <w:abstractNum w:abstractNumId="46"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873222"/>
    <w:multiLevelType w:val="hybridMultilevel"/>
    <w:tmpl w:val="8A509462"/>
    <w:lvl w:ilvl="0" w:tplc="DCA412BA">
      <w:start w:val="1"/>
      <w:numFmt w:val="decimal"/>
      <w:lvlText w:val="%1."/>
      <w:lvlJc w:val="left"/>
      <w:pPr>
        <w:ind w:left="1080" w:hanging="360"/>
      </w:pPr>
      <w:rPr>
        <w:rFonts w:ascii="Times New Roman" w:hAnsi="Times New Roman" w:cs="Times New Roman" w:hint="default"/>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68874A57"/>
    <w:multiLevelType w:val="hybridMultilevel"/>
    <w:tmpl w:val="B832F34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C69AA40A">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D1434D"/>
    <w:multiLevelType w:val="hybridMultilevel"/>
    <w:tmpl w:val="3806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953BF6"/>
    <w:multiLevelType w:val="hybridMultilevel"/>
    <w:tmpl w:val="74845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056387"/>
    <w:multiLevelType w:val="hybridMultilevel"/>
    <w:tmpl w:val="EFC636B0"/>
    <w:lvl w:ilvl="0" w:tplc="1CC047F8">
      <w:start w:val="1"/>
      <w:numFmt w:val="decimal"/>
      <w:lvlText w:val="%1."/>
      <w:lvlJc w:val="center"/>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6F600535"/>
    <w:multiLevelType w:val="hybridMultilevel"/>
    <w:tmpl w:val="0A581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2AD2C9C"/>
    <w:multiLevelType w:val="hybridMultilevel"/>
    <w:tmpl w:val="25BAC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C84565"/>
    <w:multiLevelType w:val="hybridMultilevel"/>
    <w:tmpl w:val="F564851E"/>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3CA67FF"/>
    <w:multiLevelType w:val="hybridMultilevel"/>
    <w:tmpl w:val="DAE41A7C"/>
    <w:lvl w:ilvl="0" w:tplc="F85C9D98">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784414BE"/>
    <w:multiLevelType w:val="hybridMultilevel"/>
    <w:tmpl w:val="EF761674"/>
    <w:lvl w:ilvl="0" w:tplc="AB0EAE08">
      <w:start w:val="1"/>
      <w:numFmt w:val="bullet"/>
      <w:lvlText w:val=""/>
      <w:lvlJc w:val="left"/>
      <w:pPr>
        <w:ind w:left="720" w:hanging="360"/>
      </w:pPr>
      <w:rPr>
        <w:rFonts w:ascii="Symbol" w:hAnsi="Symbol"/>
      </w:rPr>
    </w:lvl>
    <w:lvl w:ilvl="1" w:tplc="F550A45E">
      <w:start w:val="1"/>
      <w:numFmt w:val="bullet"/>
      <w:lvlText w:val=""/>
      <w:lvlJc w:val="left"/>
      <w:pPr>
        <w:ind w:left="720" w:hanging="360"/>
      </w:pPr>
      <w:rPr>
        <w:rFonts w:ascii="Symbol" w:hAnsi="Symbol"/>
      </w:rPr>
    </w:lvl>
    <w:lvl w:ilvl="2" w:tplc="1B341656">
      <w:start w:val="1"/>
      <w:numFmt w:val="bullet"/>
      <w:lvlText w:val=""/>
      <w:lvlJc w:val="left"/>
      <w:pPr>
        <w:ind w:left="720" w:hanging="360"/>
      </w:pPr>
      <w:rPr>
        <w:rFonts w:ascii="Symbol" w:hAnsi="Symbol"/>
      </w:rPr>
    </w:lvl>
    <w:lvl w:ilvl="3" w:tplc="245E8CFA">
      <w:start w:val="1"/>
      <w:numFmt w:val="bullet"/>
      <w:lvlText w:val=""/>
      <w:lvlJc w:val="left"/>
      <w:pPr>
        <w:ind w:left="720" w:hanging="360"/>
      </w:pPr>
      <w:rPr>
        <w:rFonts w:ascii="Symbol" w:hAnsi="Symbol"/>
      </w:rPr>
    </w:lvl>
    <w:lvl w:ilvl="4" w:tplc="B8AC283E">
      <w:start w:val="1"/>
      <w:numFmt w:val="bullet"/>
      <w:lvlText w:val=""/>
      <w:lvlJc w:val="left"/>
      <w:pPr>
        <w:ind w:left="720" w:hanging="360"/>
      </w:pPr>
      <w:rPr>
        <w:rFonts w:ascii="Symbol" w:hAnsi="Symbol"/>
      </w:rPr>
    </w:lvl>
    <w:lvl w:ilvl="5" w:tplc="2AF67C68">
      <w:start w:val="1"/>
      <w:numFmt w:val="bullet"/>
      <w:lvlText w:val=""/>
      <w:lvlJc w:val="left"/>
      <w:pPr>
        <w:ind w:left="720" w:hanging="360"/>
      </w:pPr>
      <w:rPr>
        <w:rFonts w:ascii="Symbol" w:hAnsi="Symbol"/>
      </w:rPr>
    </w:lvl>
    <w:lvl w:ilvl="6" w:tplc="1076D028">
      <w:start w:val="1"/>
      <w:numFmt w:val="bullet"/>
      <w:lvlText w:val=""/>
      <w:lvlJc w:val="left"/>
      <w:pPr>
        <w:ind w:left="720" w:hanging="360"/>
      </w:pPr>
      <w:rPr>
        <w:rFonts w:ascii="Symbol" w:hAnsi="Symbol"/>
      </w:rPr>
    </w:lvl>
    <w:lvl w:ilvl="7" w:tplc="05504300">
      <w:start w:val="1"/>
      <w:numFmt w:val="bullet"/>
      <w:lvlText w:val=""/>
      <w:lvlJc w:val="left"/>
      <w:pPr>
        <w:ind w:left="720" w:hanging="360"/>
      </w:pPr>
      <w:rPr>
        <w:rFonts w:ascii="Symbol" w:hAnsi="Symbol"/>
      </w:rPr>
    </w:lvl>
    <w:lvl w:ilvl="8" w:tplc="D4C081F0">
      <w:start w:val="1"/>
      <w:numFmt w:val="bullet"/>
      <w:lvlText w:val=""/>
      <w:lvlJc w:val="left"/>
      <w:pPr>
        <w:ind w:left="720" w:hanging="360"/>
      </w:pPr>
      <w:rPr>
        <w:rFonts w:ascii="Symbol" w:hAnsi="Symbol"/>
      </w:rPr>
    </w:lvl>
  </w:abstractNum>
  <w:abstractNum w:abstractNumId="57" w15:restartNumberingAfterBreak="0">
    <w:nsid w:val="78A178BE"/>
    <w:multiLevelType w:val="hybridMultilevel"/>
    <w:tmpl w:val="D6366D58"/>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8" w15:restartNumberingAfterBreak="0">
    <w:nsid w:val="7A4E444E"/>
    <w:multiLevelType w:val="hybridMultilevel"/>
    <w:tmpl w:val="BE0A33B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D1E3D0A"/>
    <w:multiLevelType w:val="hybridMultilevel"/>
    <w:tmpl w:val="C9901E5C"/>
    <w:lvl w:ilvl="0" w:tplc="6BAC0802">
      <w:start w:val="1"/>
      <w:numFmt w:val="upperRoman"/>
      <w:lvlText w:val="%1."/>
      <w:lvlJc w:val="left"/>
      <w:pPr>
        <w:ind w:left="360" w:hanging="360"/>
      </w:pPr>
      <w:rPr>
        <w:rFonts w:hint="default"/>
        <w:b/>
        <w:i w:val="0"/>
      </w:rPr>
    </w:lvl>
    <w:lvl w:ilvl="1" w:tplc="5CACC7AC">
      <w:start w:val="1"/>
      <w:numFmt w:val="upperLetter"/>
      <w:lvlText w:val="%2."/>
      <w:lvlJc w:val="left"/>
      <w:pPr>
        <w:ind w:left="810" w:hanging="360"/>
      </w:pPr>
      <w:rPr>
        <w:i w:val="0"/>
        <w:iCs w:val="0"/>
        <w:vertAlign w:val="baseline"/>
      </w:rPr>
    </w:lvl>
    <w:lvl w:ilvl="2" w:tplc="ECFE717A">
      <w:start w:val="1"/>
      <w:numFmt w:val="decimal"/>
      <w:lvlText w:val="%3."/>
      <w:lvlJc w:val="left"/>
      <w:pPr>
        <w:ind w:left="990" w:hanging="180"/>
      </w:pPr>
      <w:rPr>
        <w:i w:val="0"/>
        <w:iCs w:val="0"/>
      </w:rPr>
    </w:lvl>
    <w:lvl w:ilvl="3" w:tplc="04090019">
      <w:start w:val="1"/>
      <w:numFmt w:val="lowerLetter"/>
      <w:lvlText w:val="%4."/>
      <w:lvlJc w:val="left"/>
      <w:pPr>
        <w:ind w:left="2250" w:hanging="360"/>
      </w:pPr>
    </w:lvl>
    <w:lvl w:ilvl="4" w:tplc="58AADE0C">
      <w:start w:val="1"/>
      <w:numFmt w:val="lowerRoman"/>
      <w:lvlText w:val="%5."/>
      <w:lvlJc w:val="left"/>
      <w:pPr>
        <w:ind w:left="2970" w:hanging="360"/>
      </w:pPr>
      <w:rPr>
        <w:rFonts w:hint="default"/>
        <w:sz w:val="20"/>
      </w:rPr>
    </w:lvl>
    <w:lvl w:ilvl="5" w:tplc="04090017">
      <w:start w:val="1"/>
      <w:numFmt w:val="lowerLetter"/>
      <w:lvlText w:val="%6)"/>
      <w:lvlJc w:val="lef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0" w15:restartNumberingAfterBreak="0">
    <w:nsid w:val="7D307B5F"/>
    <w:multiLevelType w:val="hybridMultilevel"/>
    <w:tmpl w:val="A0508C6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1"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4D20C4"/>
    <w:multiLevelType w:val="hybridMultilevel"/>
    <w:tmpl w:val="656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373830">
    <w:abstractNumId w:val="61"/>
  </w:num>
  <w:num w:numId="2" w16cid:durableId="1990789635">
    <w:abstractNumId w:val="3"/>
  </w:num>
  <w:num w:numId="3" w16cid:durableId="1736705597">
    <w:abstractNumId w:val="22"/>
  </w:num>
  <w:num w:numId="4" w16cid:durableId="212544881">
    <w:abstractNumId w:val="28"/>
  </w:num>
  <w:num w:numId="5" w16cid:durableId="1795561219">
    <w:abstractNumId w:val="30"/>
  </w:num>
  <w:num w:numId="6" w16cid:durableId="519661934">
    <w:abstractNumId w:val="46"/>
  </w:num>
  <w:num w:numId="7" w16cid:durableId="667757595">
    <w:abstractNumId w:val="49"/>
  </w:num>
  <w:num w:numId="8" w16cid:durableId="1498576855">
    <w:abstractNumId w:val="10"/>
  </w:num>
  <w:num w:numId="9" w16cid:durableId="485627089">
    <w:abstractNumId w:val="40"/>
  </w:num>
  <w:num w:numId="10" w16cid:durableId="1845124196">
    <w:abstractNumId w:val="19"/>
  </w:num>
  <w:num w:numId="11" w16cid:durableId="603079513">
    <w:abstractNumId w:val="59"/>
  </w:num>
  <w:num w:numId="12" w16cid:durableId="1759600612">
    <w:abstractNumId w:val="27"/>
  </w:num>
  <w:num w:numId="13" w16cid:durableId="1753119848">
    <w:abstractNumId w:val="24"/>
  </w:num>
  <w:num w:numId="14" w16cid:durableId="152726986">
    <w:abstractNumId w:val="16"/>
  </w:num>
  <w:num w:numId="15" w16cid:durableId="2048672768">
    <w:abstractNumId w:val="20"/>
  </w:num>
  <w:num w:numId="16" w16cid:durableId="777914809">
    <w:abstractNumId w:val="52"/>
  </w:num>
  <w:num w:numId="17" w16cid:durableId="1062172086">
    <w:abstractNumId w:val="41"/>
  </w:num>
  <w:num w:numId="18" w16cid:durableId="567153192">
    <w:abstractNumId w:val="32"/>
  </w:num>
  <w:num w:numId="19" w16cid:durableId="1622804643">
    <w:abstractNumId w:val="18"/>
  </w:num>
  <w:num w:numId="20" w16cid:durableId="818767076">
    <w:abstractNumId w:val="12"/>
  </w:num>
  <w:num w:numId="21" w16cid:durableId="1873221230">
    <w:abstractNumId w:val="44"/>
  </w:num>
  <w:num w:numId="22" w16cid:durableId="411439442">
    <w:abstractNumId w:val="35"/>
  </w:num>
  <w:num w:numId="23" w16cid:durableId="1236624181">
    <w:abstractNumId w:val="7"/>
  </w:num>
  <w:num w:numId="24" w16cid:durableId="8529638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052625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0389931">
    <w:abstractNumId w:val="38"/>
  </w:num>
  <w:num w:numId="27" w16cid:durableId="1758404395">
    <w:abstractNumId w:val="1"/>
  </w:num>
  <w:num w:numId="28" w16cid:durableId="428745800">
    <w:abstractNumId w:val="55"/>
  </w:num>
  <w:num w:numId="29" w16cid:durableId="1728794809">
    <w:abstractNumId w:val="25"/>
  </w:num>
  <w:num w:numId="30" w16cid:durableId="1283270715">
    <w:abstractNumId w:val="5"/>
  </w:num>
  <w:num w:numId="31" w16cid:durableId="1677154350">
    <w:abstractNumId w:val="36"/>
  </w:num>
  <w:num w:numId="32" w16cid:durableId="576524701">
    <w:abstractNumId w:val="51"/>
  </w:num>
  <w:num w:numId="33" w16cid:durableId="191917416">
    <w:abstractNumId w:val="23"/>
  </w:num>
  <w:num w:numId="34" w16cid:durableId="1340933386">
    <w:abstractNumId w:val="2"/>
  </w:num>
  <w:num w:numId="35" w16cid:durableId="1614969912">
    <w:abstractNumId w:val="37"/>
  </w:num>
  <w:num w:numId="36" w16cid:durableId="123356762">
    <w:abstractNumId w:val="58"/>
  </w:num>
  <w:num w:numId="37" w16cid:durableId="531066860">
    <w:abstractNumId w:val="17"/>
  </w:num>
  <w:num w:numId="38" w16cid:durableId="555432607">
    <w:abstractNumId w:val="54"/>
  </w:num>
  <w:num w:numId="39" w16cid:durableId="1909882445">
    <w:abstractNumId w:val="33"/>
  </w:num>
  <w:num w:numId="40" w16cid:durableId="348223070">
    <w:abstractNumId w:val="48"/>
  </w:num>
  <w:num w:numId="41" w16cid:durableId="463546817">
    <w:abstractNumId w:val="21"/>
  </w:num>
  <w:num w:numId="42" w16cid:durableId="1444685150">
    <w:abstractNumId w:val="60"/>
  </w:num>
  <w:num w:numId="43" w16cid:durableId="1835026853">
    <w:abstractNumId w:val="47"/>
  </w:num>
  <w:num w:numId="44" w16cid:durableId="1755586349">
    <w:abstractNumId w:val="11"/>
  </w:num>
  <w:num w:numId="45" w16cid:durableId="1609778065">
    <w:abstractNumId w:val="42"/>
  </w:num>
  <w:num w:numId="46" w16cid:durableId="1048337084">
    <w:abstractNumId w:val="8"/>
  </w:num>
  <w:num w:numId="47" w16cid:durableId="1574200316">
    <w:abstractNumId w:val="0"/>
  </w:num>
  <w:num w:numId="48" w16cid:durableId="320161134">
    <w:abstractNumId w:val="50"/>
  </w:num>
  <w:num w:numId="49" w16cid:durableId="1946501703">
    <w:abstractNumId w:val="53"/>
  </w:num>
  <w:num w:numId="50" w16cid:durableId="1278179894">
    <w:abstractNumId w:val="62"/>
  </w:num>
  <w:num w:numId="51" w16cid:durableId="910115161">
    <w:abstractNumId w:val="4"/>
  </w:num>
  <w:num w:numId="52" w16cid:durableId="993099312">
    <w:abstractNumId w:val="43"/>
  </w:num>
  <w:num w:numId="53" w16cid:durableId="666523242">
    <w:abstractNumId w:val="9"/>
  </w:num>
  <w:num w:numId="54" w16cid:durableId="1962220981">
    <w:abstractNumId w:val="39"/>
  </w:num>
  <w:num w:numId="55" w16cid:durableId="1347756736">
    <w:abstractNumId w:val="13"/>
  </w:num>
  <w:num w:numId="56" w16cid:durableId="198977726">
    <w:abstractNumId w:val="56"/>
  </w:num>
  <w:num w:numId="57" w16cid:durableId="204295784">
    <w:abstractNumId w:val="45"/>
  </w:num>
  <w:num w:numId="58" w16cid:durableId="1355107787">
    <w:abstractNumId w:val="31"/>
  </w:num>
  <w:num w:numId="59" w16cid:durableId="1562668809">
    <w:abstractNumId w:val="26"/>
  </w:num>
  <w:num w:numId="60" w16cid:durableId="1914654589">
    <w:abstractNumId w:val="34"/>
  </w:num>
  <w:num w:numId="61" w16cid:durableId="1961762247">
    <w:abstractNumId w:val="57"/>
  </w:num>
  <w:num w:numId="62" w16cid:durableId="603803599">
    <w:abstractNumId w:val="14"/>
  </w:num>
  <w:num w:numId="63" w16cid:durableId="1624263438">
    <w:abstractNumId w:val="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DE9"/>
    <w:rsid w:val="00007370"/>
    <w:rsid w:val="00010017"/>
    <w:rsid w:val="00012789"/>
    <w:rsid w:val="00013D6C"/>
    <w:rsid w:val="00014F7C"/>
    <w:rsid w:val="0001567F"/>
    <w:rsid w:val="00022BD3"/>
    <w:rsid w:val="00023E7D"/>
    <w:rsid w:val="000267A0"/>
    <w:rsid w:val="00026D54"/>
    <w:rsid w:val="000319E4"/>
    <w:rsid w:val="00032D3F"/>
    <w:rsid w:val="00035450"/>
    <w:rsid w:val="00042565"/>
    <w:rsid w:val="000443D1"/>
    <w:rsid w:val="00044EBA"/>
    <w:rsid w:val="00046356"/>
    <w:rsid w:val="0004657A"/>
    <w:rsid w:val="000465DE"/>
    <w:rsid w:val="0004733E"/>
    <w:rsid w:val="00053284"/>
    <w:rsid w:val="0005504D"/>
    <w:rsid w:val="00060509"/>
    <w:rsid w:val="00061D19"/>
    <w:rsid w:val="00064363"/>
    <w:rsid w:val="000648D6"/>
    <w:rsid w:val="00065F89"/>
    <w:rsid w:val="00066277"/>
    <w:rsid w:val="00066746"/>
    <w:rsid w:val="00070282"/>
    <w:rsid w:val="00070C19"/>
    <w:rsid w:val="000735D3"/>
    <w:rsid w:val="000775B9"/>
    <w:rsid w:val="000808F8"/>
    <w:rsid w:val="00080AE0"/>
    <w:rsid w:val="00081A53"/>
    <w:rsid w:val="00082FC7"/>
    <w:rsid w:val="00083740"/>
    <w:rsid w:val="000846E0"/>
    <w:rsid w:val="0008721A"/>
    <w:rsid w:val="0008753F"/>
    <w:rsid w:val="00087D72"/>
    <w:rsid w:val="00091486"/>
    <w:rsid w:val="00092279"/>
    <w:rsid w:val="00093C61"/>
    <w:rsid w:val="00094136"/>
    <w:rsid w:val="000941EE"/>
    <w:rsid w:val="000A2404"/>
    <w:rsid w:val="000A2F9D"/>
    <w:rsid w:val="000A7921"/>
    <w:rsid w:val="000B37C9"/>
    <w:rsid w:val="000B3D48"/>
    <w:rsid w:val="000B52B2"/>
    <w:rsid w:val="000B5305"/>
    <w:rsid w:val="000B7268"/>
    <w:rsid w:val="000C1C90"/>
    <w:rsid w:val="000C228F"/>
    <w:rsid w:val="000C2DB6"/>
    <w:rsid w:val="000C6661"/>
    <w:rsid w:val="000D0560"/>
    <w:rsid w:val="000D1784"/>
    <w:rsid w:val="000D205F"/>
    <w:rsid w:val="000D2728"/>
    <w:rsid w:val="000E68D6"/>
    <w:rsid w:val="000E73AF"/>
    <w:rsid w:val="000F10C2"/>
    <w:rsid w:val="000F41AE"/>
    <w:rsid w:val="00100428"/>
    <w:rsid w:val="00101214"/>
    <w:rsid w:val="001020E6"/>
    <w:rsid w:val="00107B28"/>
    <w:rsid w:val="00111D34"/>
    <w:rsid w:val="00114643"/>
    <w:rsid w:val="001148A8"/>
    <w:rsid w:val="001155DF"/>
    <w:rsid w:val="00115702"/>
    <w:rsid w:val="00117AD8"/>
    <w:rsid w:val="00117B82"/>
    <w:rsid w:val="00122BA5"/>
    <w:rsid w:val="001232CF"/>
    <w:rsid w:val="001248D1"/>
    <w:rsid w:val="00126473"/>
    <w:rsid w:val="001322D6"/>
    <w:rsid w:val="00134DFD"/>
    <w:rsid w:val="0014205A"/>
    <w:rsid w:val="001424C6"/>
    <w:rsid w:val="0014316D"/>
    <w:rsid w:val="00145751"/>
    <w:rsid w:val="00146C6E"/>
    <w:rsid w:val="001509F0"/>
    <w:rsid w:val="00151E9B"/>
    <w:rsid w:val="00153835"/>
    <w:rsid w:val="00153DE7"/>
    <w:rsid w:val="00154FDA"/>
    <w:rsid w:val="0015506B"/>
    <w:rsid w:val="00161B64"/>
    <w:rsid w:val="001643CB"/>
    <w:rsid w:val="00166FE9"/>
    <w:rsid w:val="001700E0"/>
    <w:rsid w:val="00170B14"/>
    <w:rsid w:val="0017192A"/>
    <w:rsid w:val="00171D9D"/>
    <w:rsid w:val="001814D1"/>
    <w:rsid w:val="001818D7"/>
    <w:rsid w:val="001843D5"/>
    <w:rsid w:val="00185104"/>
    <w:rsid w:val="00185B66"/>
    <w:rsid w:val="00186C54"/>
    <w:rsid w:val="00187C6C"/>
    <w:rsid w:val="001905DA"/>
    <w:rsid w:val="00190F4D"/>
    <w:rsid w:val="00191D63"/>
    <w:rsid w:val="0019388C"/>
    <w:rsid w:val="001962BE"/>
    <w:rsid w:val="00196689"/>
    <w:rsid w:val="00196935"/>
    <w:rsid w:val="0019746F"/>
    <w:rsid w:val="001A1099"/>
    <w:rsid w:val="001A4DC3"/>
    <w:rsid w:val="001A7ACE"/>
    <w:rsid w:val="001B2974"/>
    <w:rsid w:val="001C06B6"/>
    <w:rsid w:val="001C1022"/>
    <w:rsid w:val="001C25A0"/>
    <w:rsid w:val="001C27E1"/>
    <w:rsid w:val="001C2AA6"/>
    <w:rsid w:val="001C3942"/>
    <w:rsid w:val="001C53EE"/>
    <w:rsid w:val="001C604C"/>
    <w:rsid w:val="001D0D34"/>
    <w:rsid w:val="001D4322"/>
    <w:rsid w:val="001D6AD0"/>
    <w:rsid w:val="001D70D4"/>
    <w:rsid w:val="001E1413"/>
    <w:rsid w:val="001E1682"/>
    <w:rsid w:val="001E242F"/>
    <w:rsid w:val="001E6055"/>
    <w:rsid w:val="001E7D12"/>
    <w:rsid w:val="001F1546"/>
    <w:rsid w:val="001F2F16"/>
    <w:rsid w:val="001F3C6B"/>
    <w:rsid w:val="001F43A3"/>
    <w:rsid w:val="001F5AEE"/>
    <w:rsid w:val="00203D5F"/>
    <w:rsid w:val="0020554C"/>
    <w:rsid w:val="0020675F"/>
    <w:rsid w:val="002102F8"/>
    <w:rsid w:val="002137BA"/>
    <w:rsid w:val="00214B9C"/>
    <w:rsid w:val="0021506E"/>
    <w:rsid w:val="00220736"/>
    <w:rsid w:val="002240CC"/>
    <w:rsid w:val="00226F2E"/>
    <w:rsid w:val="0022748E"/>
    <w:rsid w:val="00230FE4"/>
    <w:rsid w:val="0023174D"/>
    <w:rsid w:val="00233651"/>
    <w:rsid w:val="00241077"/>
    <w:rsid w:val="00242D02"/>
    <w:rsid w:val="002431EE"/>
    <w:rsid w:val="00246BD7"/>
    <w:rsid w:val="00246C74"/>
    <w:rsid w:val="00252B33"/>
    <w:rsid w:val="0025354F"/>
    <w:rsid w:val="00254020"/>
    <w:rsid w:val="0025452A"/>
    <w:rsid w:val="00254AA1"/>
    <w:rsid w:val="00254C4A"/>
    <w:rsid w:val="00257632"/>
    <w:rsid w:val="0026132A"/>
    <w:rsid w:val="0026147E"/>
    <w:rsid w:val="0026328B"/>
    <w:rsid w:val="002661E0"/>
    <w:rsid w:val="00270842"/>
    <w:rsid w:val="00273F17"/>
    <w:rsid w:val="00275F40"/>
    <w:rsid w:val="002777D1"/>
    <w:rsid w:val="00285997"/>
    <w:rsid w:val="00290D09"/>
    <w:rsid w:val="00294B64"/>
    <w:rsid w:val="0029760B"/>
    <w:rsid w:val="002A1647"/>
    <w:rsid w:val="002A39EE"/>
    <w:rsid w:val="002A55A3"/>
    <w:rsid w:val="002A6207"/>
    <w:rsid w:val="002B0582"/>
    <w:rsid w:val="002B10BA"/>
    <w:rsid w:val="002B31BF"/>
    <w:rsid w:val="002B482C"/>
    <w:rsid w:val="002C1833"/>
    <w:rsid w:val="002C5996"/>
    <w:rsid w:val="002C6249"/>
    <w:rsid w:val="002C6AAB"/>
    <w:rsid w:val="002C6AE3"/>
    <w:rsid w:val="002C6D95"/>
    <w:rsid w:val="002C7220"/>
    <w:rsid w:val="002C7FDB"/>
    <w:rsid w:val="002D019A"/>
    <w:rsid w:val="002D4A63"/>
    <w:rsid w:val="002D7DA1"/>
    <w:rsid w:val="002E1DD3"/>
    <w:rsid w:val="002E48E7"/>
    <w:rsid w:val="002E5306"/>
    <w:rsid w:val="002E7135"/>
    <w:rsid w:val="002F0143"/>
    <w:rsid w:val="002F3949"/>
    <w:rsid w:val="002F3B5A"/>
    <w:rsid w:val="002F3C60"/>
    <w:rsid w:val="002F70D8"/>
    <w:rsid w:val="003012A3"/>
    <w:rsid w:val="003034D9"/>
    <w:rsid w:val="00304163"/>
    <w:rsid w:val="00304D74"/>
    <w:rsid w:val="0030556C"/>
    <w:rsid w:val="0031370C"/>
    <w:rsid w:val="003140D6"/>
    <w:rsid w:val="00315295"/>
    <w:rsid w:val="003166A6"/>
    <w:rsid w:val="00321B36"/>
    <w:rsid w:val="00322D25"/>
    <w:rsid w:val="003254CC"/>
    <w:rsid w:val="00325C0E"/>
    <w:rsid w:val="00334F46"/>
    <w:rsid w:val="00336E37"/>
    <w:rsid w:val="00343B52"/>
    <w:rsid w:val="00344793"/>
    <w:rsid w:val="00347A7B"/>
    <w:rsid w:val="00350F22"/>
    <w:rsid w:val="003549E3"/>
    <w:rsid w:val="00355CB6"/>
    <w:rsid w:val="0035780B"/>
    <w:rsid w:val="00357963"/>
    <w:rsid w:val="00365CAC"/>
    <w:rsid w:val="00365F6F"/>
    <w:rsid w:val="00366D9F"/>
    <w:rsid w:val="00373618"/>
    <w:rsid w:val="00373A99"/>
    <w:rsid w:val="00374075"/>
    <w:rsid w:val="003764CB"/>
    <w:rsid w:val="003766B4"/>
    <w:rsid w:val="00376AD9"/>
    <w:rsid w:val="00381A1B"/>
    <w:rsid w:val="00383E76"/>
    <w:rsid w:val="003840CC"/>
    <w:rsid w:val="00384A7D"/>
    <w:rsid w:val="00386A9F"/>
    <w:rsid w:val="00386DD5"/>
    <w:rsid w:val="0038750E"/>
    <w:rsid w:val="00394739"/>
    <w:rsid w:val="00396981"/>
    <w:rsid w:val="003975C0"/>
    <w:rsid w:val="003A0A90"/>
    <w:rsid w:val="003B068C"/>
    <w:rsid w:val="003B0A07"/>
    <w:rsid w:val="003B0ADC"/>
    <w:rsid w:val="003B7798"/>
    <w:rsid w:val="003C0008"/>
    <w:rsid w:val="003C1ADD"/>
    <w:rsid w:val="003C3C6D"/>
    <w:rsid w:val="003C5ECD"/>
    <w:rsid w:val="003C6C37"/>
    <w:rsid w:val="003D1DCC"/>
    <w:rsid w:val="003D1F40"/>
    <w:rsid w:val="003D5BC0"/>
    <w:rsid w:val="003D7338"/>
    <w:rsid w:val="003D7BE7"/>
    <w:rsid w:val="003E0E0E"/>
    <w:rsid w:val="003E116C"/>
    <w:rsid w:val="003E332D"/>
    <w:rsid w:val="003E4855"/>
    <w:rsid w:val="003E74D7"/>
    <w:rsid w:val="003F3D44"/>
    <w:rsid w:val="003F63BF"/>
    <w:rsid w:val="00402B0D"/>
    <w:rsid w:val="00406623"/>
    <w:rsid w:val="0041461B"/>
    <w:rsid w:val="004214CF"/>
    <w:rsid w:val="004222B7"/>
    <w:rsid w:val="004260B1"/>
    <w:rsid w:val="004313DE"/>
    <w:rsid w:val="00432B67"/>
    <w:rsid w:val="00433094"/>
    <w:rsid w:val="00433FBB"/>
    <w:rsid w:val="00435210"/>
    <w:rsid w:val="00440A1B"/>
    <w:rsid w:val="00441080"/>
    <w:rsid w:val="004465F4"/>
    <w:rsid w:val="00446749"/>
    <w:rsid w:val="0044791F"/>
    <w:rsid w:val="00447E7F"/>
    <w:rsid w:val="00450A6F"/>
    <w:rsid w:val="004516ED"/>
    <w:rsid w:val="00451B69"/>
    <w:rsid w:val="00455BD1"/>
    <w:rsid w:val="00455D52"/>
    <w:rsid w:val="0045784C"/>
    <w:rsid w:val="004613A6"/>
    <w:rsid w:val="00461F56"/>
    <w:rsid w:val="00464BAA"/>
    <w:rsid w:val="00465E63"/>
    <w:rsid w:val="0047171D"/>
    <w:rsid w:val="00472C6C"/>
    <w:rsid w:val="00472D36"/>
    <w:rsid w:val="00473373"/>
    <w:rsid w:val="00475F6A"/>
    <w:rsid w:val="00477332"/>
    <w:rsid w:val="004807DE"/>
    <w:rsid w:val="00480C09"/>
    <w:rsid w:val="00482DB1"/>
    <w:rsid w:val="004833C3"/>
    <w:rsid w:val="00483972"/>
    <w:rsid w:val="004901B1"/>
    <w:rsid w:val="00491856"/>
    <w:rsid w:val="00492533"/>
    <w:rsid w:val="00492EBA"/>
    <w:rsid w:val="00493710"/>
    <w:rsid w:val="00495EAF"/>
    <w:rsid w:val="00496BCF"/>
    <w:rsid w:val="00497AED"/>
    <w:rsid w:val="004A11EC"/>
    <w:rsid w:val="004A178D"/>
    <w:rsid w:val="004A1F9B"/>
    <w:rsid w:val="004A2E17"/>
    <w:rsid w:val="004A331E"/>
    <w:rsid w:val="004A40A3"/>
    <w:rsid w:val="004A4FD5"/>
    <w:rsid w:val="004A52E4"/>
    <w:rsid w:val="004A7685"/>
    <w:rsid w:val="004B0F2A"/>
    <w:rsid w:val="004B24C6"/>
    <w:rsid w:val="004B33AB"/>
    <w:rsid w:val="004B75C9"/>
    <w:rsid w:val="004C1C6A"/>
    <w:rsid w:val="004C2DD5"/>
    <w:rsid w:val="004C3523"/>
    <w:rsid w:val="004C3C67"/>
    <w:rsid w:val="004C6773"/>
    <w:rsid w:val="004C7108"/>
    <w:rsid w:val="004D49F7"/>
    <w:rsid w:val="004D7F10"/>
    <w:rsid w:val="004E0B99"/>
    <w:rsid w:val="004E0D7A"/>
    <w:rsid w:val="004E235C"/>
    <w:rsid w:val="004E3850"/>
    <w:rsid w:val="004E59C8"/>
    <w:rsid w:val="004E6040"/>
    <w:rsid w:val="004F39E8"/>
    <w:rsid w:val="004F41DF"/>
    <w:rsid w:val="004F5B76"/>
    <w:rsid w:val="004F6394"/>
    <w:rsid w:val="004F77D3"/>
    <w:rsid w:val="00501A8A"/>
    <w:rsid w:val="00502B36"/>
    <w:rsid w:val="00505830"/>
    <w:rsid w:val="005074DA"/>
    <w:rsid w:val="005103B8"/>
    <w:rsid w:val="00514154"/>
    <w:rsid w:val="005174AD"/>
    <w:rsid w:val="00520E28"/>
    <w:rsid w:val="005212E6"/>
    <w:rsid w:val="00530797"/>
    <w:rsid w:val="00531DB0"/>
    <w:rsid w:val="00532754"/>
    <w:rsid w:val="00533E07"/>
    <w:rsid w:val="00536D3D"/>
    <w:rsid w:val="0054090E"/>
    <w:rsid w:val="005423D4"/>
    <w:rsid w:val="00545B95"/>
    <w:rsid w:val="00546E18"/>
    <w:rsid w:val="005476D6"/>
    <w:rsid w:val="005537B0"/>
    <w:rsid w:val="00556960"/>
    <w:rsid w:val="00562952"/>
    <w:rsid w:val="00565141"/>
    <w:rsid w:val="00565F5C"/>
    <w:rsid w:val="00566408"/>
    <w:rsid w:val="00566DB7"/>
    <w:rsid w:val="00576974"/>
    <w:rsid w:val="005776FD"/>
    <w:rsid w:val="00577EA9"/>
    <w:rsid w:val="0058193D"/>
    <w:rsid w:val="00583376"/>
    <w:rsid w:val="005850D1"/>
    <w:rsid w:val="005859F1"/>
    <w:rsid w:val="0058601F"/>
    <w:rsid w:val="0058746B"/>
    <w:rsid w:val="00590992"/>
    <w:rsid w:val="005921F4"/>
    <w:rsid w:val="00592A04"/>
    <w:rsid w:val="00593F53"/>
    <w:rsid w:val="00597828"/>
    <w:rsid w:val="005A7A79"/>
    <w:rsid w:val="005B7E3A"/>
    <w:rsid w:val="005C17DF"/>
    <w:rsid w:val="005C3607"/>
    <w:rsid w:val="005C779D"/>
    <w:rsid w:val="005D009F"/>
    <w:rsid w:val="005D38E1"/>
    <w:rsid w:val="005D5146"/>
    <w:rsid w:val="005D62C6"/>
    <w:rsid w:val="005D7B81"/>
    <w:rsid w:val="005E1234"/>
    <w:rsid w:val="005E1EE9"/>
    <w:rsid w:val="005E337C"/>
    <w:rsid w:val="005E36EE"/>
    <w:rsid w:val="005E411E"/>
    <w:rsid w:val="005F051C"/>
    <w:rsid w:val="005F0568"/>
    <w:rsid w:val="005F0A08"/>
    <w:rsid w:val="005F1CA9"/>
    <w:rsid w:val="005F40C2"/>
    <w:rsid w:val="00600CEC"/>
    <w:rsid w:val="00600D31"/>
    <w:rsid w:val="0060580A"/>
    <w:rsid w:val="0060642D"/>
    <w:rsid w:val="0061080B"/>
    <w:rsid w:val="00611094"/>
    <w:rsid w:val="00611144"/>
    <w:rsid w:val="00612276"/>
    <w:rsid w:val="006132D2"/>
    <w:rsid w:val="00614689"/>
    <w:rsid w:val="006204CA"/>
    <w:rsid w:val="0062367E"/>
    <w:rsid w:val="00625122"/>
    <w:rsid w:val="00625D7E"/>
    <w:rsid w:val="00626426"/>
    <w:rsid w:val="00627115"/>
    <w:rsid w:val="006321B4"/>
    <w:rsid w:val="00633037"/>
    <w:rsid w:val="00635A85"/>
    <w:rsid w:val="00637A83"/>
    <w:rsid w:val="00637FD7"/>
    <w:rsid w:val="006409CD"/>
    <w:rsid w:val="00641089"/>
    <w:rsid w:val="00642D4A"/>
    <w:rsid w:val="006444EC"/>
    <w:rsid w:val="00646B95"/>
    <w:rsid w:val="006474BB"/>
    <w:rsid w:val="006519D4"/>
    <w:rsid w:val="00656512"/>
    <w:rsid w:val="0066186F"/>
    <w:rsid w:val="00661A42"/>
    <w:rsid w:val="00662055"/>
    <w:rsid w:val="006644CB"/>
    <w:rsid w:val="006664E9"/>
    <w:rsid w:val="00672418"/>
    <w:rsid w:val="00672FBF"/>
    <w:rsid w:val="00680807"/>
    <w:rsid w:val="006844B8"/>
    <w:rsid w:val="00695FE1"/>
    <w:rsid w:val="006972E7"/>
    <w:rsid w:val="00697515"/>
    <w:rsid w:val="006977B7"/>
    <w:rsid w:val="006A49F6"/>
    <w:rsid w:val="006A5E5A"/>
    <w:rsid w:val="006B1346"/>
    <w:rsid w:val="006B1E21"/>
    <w:rsid w:val="006B2D1C"/>
    <w:rsid w:val="006B4335"/>
    <w:rsid w:val="006C3578"/>
    <w:rsid w:val="006C45D0"/>
    <w:rsid w:val="006C61B7"/>
    <w:rsid w:val="006C7469"/>
    <w:rsid w:val="006C74DF"/>
    <w:rsid w:val="006D48FF"/>
    <w:rsid w:val="006D7774"/>
    <w:rsid w:val="006D7BA5"/>
    <w:rsid w:val="006E0B8C"/>
    <w:rsid w:val="006E1E55"/>
    <w:rsid w:val="006E1F3C"/>
    <w:rsid w:val="006E254F"/>
    <w:rsid w:val="006E59C3"/>
    <w:rsid w:val="006F0502"/>
    <w:rsid w:val="006F22C3"/>
    <w:rsid w:val="006F33B7"/>
    <w:rsid w:val="006F4D70"/>
    <w:rsid w:val="006F7ADD"/>
    <w:rsid w:val="007018D3"/>
    <w:rsid w:val="007051F4"/>
    <w:rsid w:val="007116E2"/>
    <w:rsid w:val="00713E71"/>
    <w:rsid w:val="007140C1"/>
    <w:rsid w:val="0071598E"/>
    <w:rsid w:val="007163E2"/>
    <w:rsid w:val="007172A2"/>
    <w:rsid w:val="00721C72"/>
    <w:rsid w:val="00724813"/>
    <w:rsid w:val="00726D11"/>
    <w:rsid w:val="00731B0C"/>
    <w:rsid w:val="00731BF0"/>
    <w:rsid w:val="00732D78"/>
    <w:rsid w:val="00734DEA"/>
    <w:rsid w:val="00736BAE"/>
    <w:rsid w:val="00737215"/>
    <w:rsid w:val="0074048A"/>
    <w:rsid w:val="00744250"/>
    <w:rsid w:val="00751314"/>
    <w:rsid w:val="00753D9C"/>
    <w:rsid w:val="00756765"/>
    <w:rsid w:val="00756AC4"/>
    <w:rsid w:val="00756E83"/>
    <w:rsid w:val="00757463"/>
    <w:rsid w:val="00761099"/>
    <w:rsid w:val="00762ABE"/>
    <w:rsid w:val="00762DF5"/>
    <w:rsid w:val="00766B87"/>
    <w:rsid w:val="00767011"/>
    <w:rsid w:val="007674D7"/>
    <w:rsid w:val="0076764A"/>
    <w:rsid w:val="0076795B"/>
    <w:rsid w:val="00772335"/>
    <w:rsid w:val="007733AF"/>
    <w:rsid w:val="00773BE9"/>
    <w:rsid w:val="00775191"/>
    <w:rsid w:val="007764CE"/>
    <w:rsid w:val="00777636"/>
    <w:rsid w:val="00782695"/>
    <w:rsid w:val="0078659C"/>
    <w:rsid w:val="00790BFA"/>
    <w:rsid w:val="00791AE1"/>
    <w:rsid w:val="00791D61"/>
    <w:rsid w:val="00791E4F"/>
    <w:rsid w:val="00794042"/>
    <w:rsid w:val="0079464D"/>
    <w:rsid w:val="00797C02"/>
    <w:rsid w:val="007A0BCC"/>
    <w:rsid w:val="007A159E"/>
    <w:rsid w:val="007A1CB3"/>
    <w:rsid w:val="007A3954"/>
    <w:rsid w:val="007A6FBB"/>
    <w:rsid w:val="007A7BA2"/>
    <w:rsid w:val="007B07AE"/>
    <w:rsid w:val="007B07D7"/>
    <w:rsid w:val="007B3ABB"/>
    <w:rsid w:val="007B425C"/>
    <w:rsid w:val="007B4450"/>
    <w:rsid w:val="007B4A17"/>
    <w:rsid w:val="007B50D0"/>
    <w:rsid w:val="007C3BBA"/>
    <w:rsid w:val="007C6118"/>
    <w:rsid w:val="007C6D8E"/>
    <w:rsid w:val="007C733B"/>
    <w:rsid w:val="007C764E"/>
    <w:rsid w:val="007D0E64"/>
    <w:rsid w:val="007D4801"/>
    <w:rsid w:val="007D4B4B"/>
    <w:rsid w:val="007D56BE"/>
    <w:rsid w:val="007E0EAE"/>
    <w:rsid w:val="007E233F"/>
    <w:rsid w:val="007E3960"/>
    <w:rsid w:val="007E5C2D"/>
    <w:rsid w:val="007E7CE1"/>
    <w:rsid w:val="007F1E1A"/>
    <w:rsid w:val="007F1F19"/>
    <w:rsid w:val="007F31F2"/>
    <w:rsid w:val="007F339E"/>
    <w:rsid w:val="007F34FB"/>
    <w:rsid w:val="007F6E9B"/>
    <w:rsid w:val="007F7535"/>
    <w:rsid w:val="00804524"/>
    <w:rsid w:val="008119BA"/>
    <w:rsid w:val="0081600C"/>
    <w:rsid w:val="00821F36"/>
    <w:rsid w:val="00823203"/>
    <w:rsid w:val="00823972"/>
    <w:rsid w:val="008263DB"/>
    <w:rsid w:val="00830500"/>
    <w:rsid w:val="00830CD7"/>
    <w:rsid w:val="00833346"/>
    <w:rsid w:val="00833DC1"/>
    <w:rsid w:val="00833FBE"/>
    <w:rsid w:val="00835295"/>
    <w:rsid w:val="00835D69"/>
    <w:rsid w:val="00840209"/>
    <w:rsid w:val="00842568"/>
    <w:rsid w:val="00845B9B"/>
    <w:rsid w:val="00850346"/>
    <w:rsid w:val="00857C10"/>
    <w:rsid w:val="008614AA"/>
    <w:rsid w:val="00861991"/>
    <w:rsid w:val="008640AD"/>
    <w:rsid w:val="00873135"/>
    <w:rsid w:val="00875924"/>
    <w:rsid w:val="0087598D"/>
    <w:rsid w:val="00875C29"/>
    <w:rsid w:val="00876BE7"/>
    <w:rsid w:val="00877EC7"/>
    <w:rsid w:val="00881B31"/>
    <w:rsid w:val="00882CC6"/>
    <w:rsid w:val="008832DE"/>
    <w:rsid w:val="00886F41"/>
    <w:rsid w:val="008877D6"/>
    <w:rsid w:val="00893E46"/>
    <w:rsid w:val="00896E94"/>
    <w:rsid w:val="008A63BF"/>
    <w:rsid w:val="008B0705"/>
    <w:rsid w:val="008B1F0D"/>
    <w:rsid w:val="008B3E77"/>
    <w:rsid w:val="008B4912"/>
    <w:rsid w:val="008B50DE"/>
    <w:rsid w:val="008C01CA"/>
    <w:rsid w:val="008C0773"/>
    <w:rsid w:val="008C0C43"/>
    <w:rsid w:val="008C613B"/>
    <w:rsid w:val="008C6B3A"/>
    <w:rsid w:val="008C71B0"/>
    <w:rsid w:val="008D1870"/>
    <w:rsid w:val="008D20FE"/>
    <w:rsid w:val="008D24B6"/>
    <w:rsid w:val="008D27DC"/>
    <w:rsid w:val="008D4844"/>
    <w:rsid w:val="008D5796"/>
    <w:rsid w:val="008D5AB0"/>
    <w:rsid w:val="008E12B0"/>
    <w:rsid w:val="008F01AB"/>
    <w:rsid w:val="008F4513"/>
    <w:rsid w:val="008F6042"/>
    <w:rsid w:val="00900E56"/>
    <w:rsid w:val="009015D6"/>
    <w:rsid w:val="00902C9B"/>
    <w:rsid w:val="00903A34"/>
    <w:rsid w:val="00904286"/>
    <w:rsid w:val="00906304"/>
    <w:rsid w:val="00906462"/>
    <w:rsid w:val="009065E6"/>
    <w:rsid w:val="00906D63"/>
    <w:rsid w:val="00907580"/>
    <w:rsid w:val="009132AE"/>
    <w:rsid w:val="009135E0"/>
    <w:rsid w:val="0091375C"/>
    <w:rsid w:val="00915C2D"/>
    <w:rsid w:val="00915CA4"/>
    <w:rsid w:val="00915DE0"/>
    <w:rsid w:val="00921727"/>
    <w:rsid w:val="009265DC"/>
    <w:rsid w:val="00927175"/>
    <w:rsid w:val="00930911"/>
    <w:rsid w:val="00930BC0"/>
    <w:rsid w:val="00934BE7"/>
    <w:rsid w:val="00935E3E"/>
    <w:rsid w:val="00936441"/>
    <w:rsid w:val="00937980"/>
    <w:rsid w:val="00940DD1"/>
    <w:rsid w:val="009410B5"/>
    <w:rsid w:val="00944FCA"/>
    <w:rsid w:val="009450D4"/>
    <w:rsid w:val="00950820"/>
    <w:rsid w:val="00952526"/>
    <w:rsid w:val="009532A4"/>
    <w:rsid w:val="00955693"/>
    <w:rsid w:val="00955B43"/>
    <w:rsid w:val="00957241"/>
    <w:rsid w:val="00961071"/>
    <w:rsid w:val="00961EC8"/>
    <w:rsid w:val="00963062"/>
    <w:rsid w:val="009633DD"/>
    <w:rsid w:val="00964AB5"/>
    <w:rsid w:val="009656F1"/>
    <w:rsid w:val="00965A82"/>
    <w:rsid w:val="00966A0E"/>
    <w:rsid w:val="00966A50"/>
    <w:rsid w:val="0096793A"/>
    <w:rsid w:val="009735FA"/>
    <w:rsid w:val="009759FF"/>
    <w:rsid w:val="009760CE"/>
    <w:rsid w:val="00977ECA"/>
    <w:rsid w:val="00977F2A"/>
    <w:rsid w:val="00982180"/>
    <w:rsid w:val="009844CE"/>
    <w:rsid w:val="00985C1A"/>
    <w:rsid w:val="00986D09"/>
    <w:rsid w:val="009928B2"/>
    <w:rsid w:val="00992D10"/>
    <w:rsid w:val="009946FF"/>
    <w:rsid w:val="00997F19"/>
    <w:rsid w:val="009A19DB"/>
    <w:rsid w:val="009A52CD"/>
    <w:rsid w:val="009A5456"/>
    <w:rsid w:val="009B023C"/>
    <w:rsid w:val="009B0B67"/>
    <w:rsid w:val="009B1F73"/>
    <w:rsid w:val="009B42F2"/>
    <w:rsid w:val="009B6202"/>
    <w:rsid w:val="009C4949"/>
    <w:rsid w:val="009C61B2"/>
    <w:rsid w:val="009D02E3"/>
    <w:rsid w:val="009D1F0A"/>
    <w:rsid w:val="009D5928"/>
    <w:rsid w:val="009D6060"/>
    <w:rsid w:val="009E0E26"/>
    <w:rsid w:val="009E3C88"/>
    <w:rsid w:val="009E6F29"/>
    <w:rsid w:val="009F575F"/>
    <w:rsid w:val="009F66B9"/>
    <w:rsid w:val="009F720A"/>
    <w:rsid w:val="00A01379"/>
    <w:rsid w:val="00A01ACD"/>
    <w:rsid w:val="00A01D40"/>
    <w:rsid w:val="00A02B21"/>
    <w:rsid w:val="00A02B85"/>
    <w:rsid w:val="00A12C01"/>
    <w:rsid w:val="00A17B68"/>
    <w:rsid w:val="00A2002A"/>
    <w:rsid w:val="00A20F73"/>
    <w:rsid w:val="00A25CD7"/>
    <w:rsid w:val="00A26547"/>
    <w:rsid w:val="00A27FDC"/>
    <w:rsid w:val="00A3143E"/>
    <w:rsid w:val="00A41312"/>
    <w:rsid w:val="00A41969"/>
    <w:rsid w:val="00A46B53"/>
    <w:rsid w:val="00A60413"/>
    <w:rsid w:val="00A60621"/>
    <w:rsid w:val="00A6077B"/>
    <w:rsid w:val="00A60941"/>
    <w:rsid w:val="00A6264D"/>
    <w:rsid w:val="00A633C9"/>
    <w:rsid w:val="00A706A5"/>
    <w:rsid w:val="00A7462E"/>
    <w:rsid w:val="00A805A9"/>
    <w:rsid w:val="00A81657"/>
    <w:rsid w:val="00A83658"/>
    <w:rsid w:val="00A85489"/>
    <w:rsid w:val="00A87B1F"/>
    <w:rsid w:val="00A95DB0"/>
    <w:rsid w:val="00AA29AB"/>
    <w:rsid w:val="00AA336E"/>
    <w:rsid w:val="00AA3AD0"/>
    <w:rsid w:val="00AA3BCA"/>
    <w:rsid w:val="00AA428E"/>
    <w:rsid w:val="00AA5F3A"/>
    <w:rsid w:val="00AA6729"/>
    <w:rsid w:val="00AB2B9F"/>
    <w:rsid w:val="00AB6A50"/>
    <w:rsid w:val="00AB751E"/>
    <w:rsid w:val="00AC31EF"/>
    <w:rsid w:val="00AC7D78"/>
    <w:rsid w:val="00AD0979"/>
    <w:rsid w:val="00AD1AA6"/>
    <w:rsid w:val="00AD4A25"/>
    <w:rsid w:val="00AE0BA0"/>
    <w:rsid w:val="00AE0FF5"/>
    <w:rsid w:val="00AE18CF"/>
    <w:rsid w:val="00AE2DC3"/>
    <w:rsid w:val="00AE52A2"/>
    <w:rsid w:val="00AE79FF"/>
    <w:rsid w:val="00AF1F2A"/>
    <w:rsid w:val="00AF30EF"/>
    <w:rsid w:val="00AF3995"/>
    <w:rsid w:val="00AF5490"/>
    <w:rsid w:val="00AF7575"/>
    <w:rsid w:val="00AF7DDC"/>
    <w:rsid w:val="00B048F8"/>
    <w:rsid w:val="00B0680A"/>
    <w:rsid w:val="00B07534"/>
    <w:rsid w:val="00B16059"/>
    <w:rsid w:val="00B2029F"/>
    <w:rsid w:val="00B21094"/>
    <w:rsid w:val="00B23465"/>
    <w:rsid w:val="00B2358C"/>
    <w:rsid w:val="00B236AE"/>
    <w:rsid w:val="00B270E4"/>
    <w:rsid w:val="00B3440F"/>
    <w:rsid w:val="00B42351"/>
    <w:rsid w:val="00B43DB2"/>
    <w:rsid w:val="00B44AB5"/>
    <w:rsid w:val="00B44C31"/>
    <w:rsid w:val="00B4633B"/>
    <w:rsid w:val="00B50522"/>
    <w:rsid w:val="00B52854"/>
    <w:rsid w:val="00B53D15"/>
    <w:rsid w:val="00B54055"/>
    <w:rsid w:val="00B642F2"/>
    <w:rsid w:val="00B70830"/>
    <w:rsid w:val="00B70E48"/>
    <w:rsid w:val="00B72F7A"/>
    <w:rsid w:val="00B730AA"/>
    <w:rsid w:val="00B76DB4"/>
    <w:rsid w:val="00B777AF"/>
    <w:rsid w:val="00B8063A"/>
    <w:rsid w:val="00B816F3"/>
    <w:rsid w:val="00B81789"/>
    <w:rsid w:val="00B8350C"/>
    <w:rsid w:val="00B84074"/>
    <w:rsid w:val="00B879C1"/>
    <w:rsid w:val="00B87E2D"/>
    <w:rsid w:val="00B910E3"/>
    <w:rsid w:val="00B920CE"/>
    <w:rsid w:val="00B92DF1"/>
    <w:rsid w:val="00B965C0"/>
    <w:rsid w:val="00BA1D5E"/>
    <w:rsid w:val="00BA58B2"/>
    <w:rsid w:val="00BB0E78"/>
    <w:rsid w:val="00BB368B"/>
    <w:rsid w:val="00BB3B5A"/>
    <w:rsid w:val="00BB4FE4"/>
    <w:rsid w:val="00BB6A7A"/>
    <w:rsid w:val="00BC7AC8"/>
    <w:rsid w:val="00BE09D9"/>
    <w:rsid w:val="00BE32AE"/>
    <w:rsid w:val="00BE7500"/>
    <w:rsid w:val="00BE7C2D"/>
    <w:rsid w:val="00BE7C70"/>
    <w:rsid w:val="00BF14C8"/>
    <w:rsid w:val="00BF362E"/>
    <w:rsid w:val="00BF4150"/>
    <w:rsid w:val="00C01AA6"/>
    <w:rsid w:val="00C033CF"/>
    <w:rsid w:val="00C06257"/>
    <w:rsid w:val="00C079B0"/>
    <w:rsid w:val="00C102E4"/>
    <w:rsid w:val="00C11814"/>
    <w:rsid w:val="00C14250"/>
    <w:rsid w:val="00C14E49"/>
    <w:rsid w:val="00C22609"/>
    <w:rsid w:val="00C2297C"/>
    <w:rsid w:val="00C22D98"/>
    <w:rsid w:val="00C246AF"/>
    <w:rsid w:val="00C278A2"/>
    <w:rsid w:val="00C3132B"/>
    <w:rsid w:val="00C32BFE"/>
    <w:rsid w:val="00C34482"/>
    <w:rsid w:val="00C420DD"/>
    <w:rsid w:val="00C43A53"/>
    <w:rsid w:val="00C476A7"/>
    <w:rsid w:val="00C47BA5"/>
    <w:rsid w:val="00C52F83"/>
    <w:rsid w:val="00C53337"/>
    <w:rsid w:val="00C56E6D"/>
    <w:rsid w:val="00C60DA1"/>
    <w:rsid w:val="00C64BB4"/>
    <w:rsid w:val="00C667F0"/>
    <w:rsid w:val="00C70721"/>
    <w:rsid w:val="00C7359B"/>
    <w:rsid w:val="00C73CF5"/>
    <w:rsid w:val="00C75B03"/>
    <w:rsid w:val="00C75B86"/>
    <w:rsid w:val="00C75BD4"/>
    <w:rsid w:val="00C77055"/>
    <w:rsid w:val="00C804BC"/>
    <w:rsid w:val="00C81C51"/>
    <w:rsid w:val="00C82058"/>
    <w:rsid w:val="00C84E11"/>
    <w:rsid w:val="00C866AA"/>
    <w:rsid w:val="00C867BC"/>
    <w:rsid w:val="00C87C04"/>
    <w:rsid w:val="00C91533"/>
    <w:rsid w:val="00C91BAA"/>
    <w:rsid w:val="00C93F93"/>
    <w:rsid w:val="00C9468B"/>
    <w:rsid w:val="00C96847"/>
    <w:rsid w:val="00CA0D19"/>
    <w:rsid w:val="00CA53B9"/>
    <w:rsid w:val="00CA5C08"/>
    <w:rsid w:val="00CB027A"/>
    <w:rsid w:val="00CB0859"/>
    <w:rsid w:val="00CB3E81"/>
    <w:rsid w:val="00CB63DD"/>
    <w:rsid w:val="00CC360B"/>
    <w:rsid w:val="00CC743A"/>
    <w:rsid w:val="00CD1861"/>
    <w:rsid w:val="00CE034E"/>
    <w:rsid w:val="00CE0574"/>
    <w:rsid w:val="00CE05C0"/>
    <w:rsid w:val="00CE0A58"/>
    <w:rsid w:val="00CE240E"/>
    <w:rsid w:val="00CE27C2"/>
    <w:rsid w:val="00CE423D"/>
    <w:rsid w:val="00CE758E"/>
    <w:rsid w:val="00CE787C"/>
    <w:rsid w:val="00CF2624"/>
    <w:rsid w:val="00CF59B4"/>
    <w:rsid w:val="00CF7B47"/>
    <w:rsid w:val="00D03242"/>
    <w:rsid w:val="00D03ABA"/>
    <w:rsid w:val="00D0432A"/>
    <w:rsid w:val="00D066A8"/>
    <w:rsid w:val="00D1056F"/>
    <w:rsid w:val="00D153DD"/>
    <w:rsid w:val="00D1631B"/>
    <w:rsid w:val="00D17711"/>
    <w:rsid w:val="00D22E91"/>
    <w:rsid w:val="00D23731"/>
    <w:rsid w:val="00D26B13"/>
    <w:rsid w:val="00D30408"/>
    <w:rsid w:val="00D32F1E"/>
    <w:rsid w:val="00D33046"/>
    <w:rsid w:val="00D36448"/>
    <w:rsid w:val="00D4086D"/>
    <w:rsid w:val="00D427A3"/>
    <w:rsid w:val="00D42925"/>
    <w:rsid w:val="00D439BB"/>
    <w:rsid w:val="00D43B14"/>
    <w:rsid w:val="00D468E6"/>
    <w:rsid w:val="00D50B36"/>
    <w:rsid w:val="00D52E9F"/>
    <w:rsid w:val="00D552EC"/>
    <w:rsid w:val="00D574CA"/>
    <w:rsid w:val="00D57A51"/>
    <w:rsid w:val="00D62BC0"/>
    <w:rsid w:val="00D6405C"/>
    <w:rsid w:val="00D71BC4"/>
    <w:rsid w:val="00D75764"/>
    <w:rsid w:val="00D757AF"/>
    <w:rsid w:val="00D80D1A"/>
    <w:rsid w:val="00D86BE1"/>
    <w:rsid w:val="00D9411F"/>
    <w:rsid w:val="00D973C5"/>
    <w:rsid w:val="00DA17B9"/>
    <w:rsid w:val="00DA613A"/>
    <w:rsid w:val="00DB1DE9"/>
    <w:rsid w:val="00DB4A66"/>
    <w:rsid w:val="00DB7073"/>
    <w:rsid w:val="00DC05C7"/>
    <w:rsid w:val="00DC1D04"/>
    <w:rsid w:val="00DD025A"/>
    <w:rsid w:val="00DD5206"/>
    <w:rsid w:val="00DD6ADB"/>
    <w:rsid w:val="00DD7D7A"/>
    <w:rsid w:val="00DE18E2"/>
    <w:rsid w:val="00DE2C45"/>
    <w:rsid w:val="00DE38A9"/>
    <w:rsid w:val="00DE3D5A"/>
    <w:rsid w:val="00DE424F"/>
    <w:rsid w:val="00DF4BD3"/>
    <w:rsid w:val="00DF61E6"/>
    <w:rsid w:val="00DF7593"/>
    <w:rsid w:val="00E01052"/>
    <w:rsid w:val="00E039D6"/>
    <w:rsid w:val="00E0687D"/>
    <w:rsid w:val="00E07849"/>
    <w:rsid w:val="00E07A6C"/>
    <w:rsid w:val="00E135B8"/>
    <w:rsid w:val="00E16B3E"/>
    <w:rsid w:val="00E22D66"/>
    <w:rsid w:val="00E25980"/>
    <w:rsid w:val="00E27C4F"/>
    <w:rsid w:val="00E31030"/>
    <w:rsid w:val="00E3208B"/>
    <w:rsid w:val="00E34FAD"/>
    <w:rsid w:val="00E35E3F"/>
    <w:rsid w:val="00E46817"/>
    <w:rsid w:val="00E50113"/>
    <w:rsid w:val="00E53B2D"/>
    <w:rsid w:val="00E57D82"/>
    <w:rsid w:val="00E57F45"/>
    <w:rsid w:val="00E60D57"/>
    <w:rsid w:val="00E60FEC"/>
    <w:rsid w:val="00E61E09"/>
    <w:rsid w:val="00E62ED5"/>
    <w:rsid w:val="00E64332"/>
    <w:rsid w:val="00E66AD6"/>
    <w:rsid w:val="00E71CE9"/>
    <w:rsid w:val="00E7500E"/>
    <w:rsid w:val="00E76019"/>
    <w:rsid w:val="00E776A7"/>
    <w:rsid w:val="00E821E4"/>
    <w:rsid w:val="00E8502B"/>
    <w:rsid w:val="00E9132B"/>
    <w:rsid w:val="00E919B4"/>
    <w:rsid w:val="00E94177"/>
    <w:rsid w:val="00E94F7F"/>
    <w:rsid w:val="00E97C17"/>
    <w:rsid w:val="00EA3809"/>
    <w:rsid w:val="00EA5F24"/>
    <w:rsid w:val="00EB39B4"/>
    <w:rsid w:val="00EB6C2F"/>
    <w:rsid w:val="00EC1AF7"/>
    <w:rsid w:val="00EC208C"/>
    <w:rsid w:val="00EC5025"/>
    <w:rsid w:val="00EC51DD"/>
    <w:rsid w:val="00ED0A0D"/>
    <w:rsid w:val="00ED7445"/>
    <w:rsid w:val="00ED75A3"/>
    <w:rsid w:val="00EE07AE"/>
    <w:rsid w:val="00EE26B1"/>
    <w:rsid w:val="00EE44CC"/>
    <w:rsid w:val="00EE46D9"/>
    <w:rsid w:val="00EF205C"/>
    <w:rsid w:val="00EF70D0"/>
    <w:rsid w:val="00EF7ADE"/>
    <w:rsid w:val="00F004D7"/>
    <w:rsid w:val="00F00C54"/>
    <w:rsid w:val="00F0100A"/>
    <w:rsid w:val="00F020B8"/>
    <w:rsid w:val="00F033C6"/>
    <w:rsid w:val="00F03DC0"/>
    <w:rsid w:val="00F04227"/>
    <w:rsid w:val="00F047C4"/>
    <w:rsid w:val="00F04915"/>
    <w:rsid w:val="00F05510"/>
    <w:rsid w:val="00F06F6A"/>
    <w:rsid w:val="00F07D8D"/>
    <w:rsid w:val="00F10609"/>
    <w:rsid w:val="00F1124C"/>
    <w:rsid w:val="00F11482"/>
    <w:rsid w:val="00F11878"/>
    <w:rsid w:val="00F118D0"/>
    <w:rsid w:val="00F12E62"/>
    <w:rsid w:val="00F13547"/>
    <w:rsid w:val="00F14374"/>
    <w:rsid w:val="00F14653"/>
    <w:rsid w:val="00F1552A"/>
    <w:rsid w:val="00F163A0"/>
    <w:rsid w:val="00F20816"/>
    <w:rsid w:val="00F20B88"/>
    <w:rsid w:val="00F212D9"/>
    <w:rsid w:val="00F24BA7"/>
    <w:rsid w:val="00F251CD"/>
    <w:rsid w:val="00F2705D"/>
    <w:rsid w:val="00F27152"/>
    <w:rsid w:val="00F30D5C"/>
    <w:rsid w:val="00F326D0"/>
    <w:rsid w:val="00F3738E"/>
    <w:rsid w:val="00F37E70"/>
    <w:rsid w:val="00F41E1C"/>
    <w:rsid w:val="00F41F19"/>
    <w:rsid w:val="00F422E1"/>
    <w:rsid w:val="00F47E68"/>
    <w:rsid w:val="00F5182A"/>
    <w:rsid w:val="00F5367D"/>
    <w:rsid w:val="00F544F7"/>
    <w:rsid w:val="00F546A2"/>
    <w:rsid w:val="00F54B88"/>
    <w:rsid w:val="00F553AE"/>
    <w:rsid w:val="00F61549"/>
    <w:rsid w:val="00F621D1"/>
    <w:rsid w:val="00F633C9"/>
    <w:rsid w:val="00F637C8"/>
    <w:rsid w:val="00F639F9"/>
    <w:rsid w:val="00F67BBD"/>
    <w:rsid w:val="00F702F3"/>
    <w:rsid w:val="00F71F8E"/>
    <w:rsid w:val="00F72A6B"/>
    <w:rsid w:val="00F73457"/>
    <w:rsid w:val="00F74762"/>
    <w:rsid w:val="00F77243"/>
    <w:rsid w:val="00F80D3E"/>
    <w:rsid w:val="00F80F3F"/>
    <w:rsid w:val="00F81B20"/>
    <w:rsid w:val="00F83701"/>
    <w:rsid w:val="00F84CAE"/>
    <w:rsid w:val="00F85E72"/>
    <w:rsid w:val="00F874B1"/>
    <w:rsid w:val="00F87848"/>
    <w:rsid w:val="00F90F04"/>
    <w:rsid w:val="00F91BAC"/>
    <w:rsid w:val="00F9400D"/>
    <w:rsid w:val="00F94BA5"/>
    <w:rsid w:val="00F95133"/>
    <w:rsid w:val="00F96978"/>
    <w:rsid w:val="00FA2741"/>
    <w:rsid w:val="00FA6217"/>
    <w:rsid w:val="00FA761D"/>
    <w:rsid w:val="00FB0592"/>
    <w:rsid w:val="00FB139B"/>
    <w:rsid w:val="00FB3753"/>
    <w:rsid w:val="00FB64F6"/>
    <w:rsid w:val="00FB799A"/>
    <w:rsid w:val="00FB7B32"/>
    <w:rsid w:val="00FC12EB"/>
    <w:rsid w:val="00FC17FF"/>
    <w:rsid w:val="00FC38AA"/>
    <w:rsid w:val="00FC3AAA"/>
    <w:rsid w:val="00FC4FD5"/>
    <w:rsid w:val="00FD125A"/>
    <w:rsid w:val="00FD28C9"/>
    <w:rsid w:val="00FD3D03"/>
    <w:rsid w:val="00FE274C"/>
    <w:rsid w:val="00FE290A"/>
    <w:rsid w:val="00FE294F"/>
    <w:rsid w:val="00FE5F97"/>
    <w:rsid w:val="00FE6A6D"/>
    <w:rsid w:val="00FE73E7"/>
    <w:rsid w:val="00FE74A8"/>
    <w:rsid w:val="00FF013A"/>
    <w:rsid w:val="00FF119A"/>
    <w:rsid w:val="00FF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F79A2"/>
  <w15:docId w15:val="{5BC2FC9E-B5D5-457D-9125-128610BF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b/>
      <w:bCs/>
      <w:sz w:val="20"/>
      <w:szCs w:val="1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szCs w:val="20"/>
    </w:rPr>
  </w:style>
  <w:style w:type="paragraph" w:styleId="Heading6">
    <w:name w:val="heading 6"/>
    <w:basedOn w:val="Normal"/>
    <w:next w:val="Normal"/>
    <w:qFormat/>
    <w:pPr>
      <w:keepNext/>
      <w:tabs>
        <w:tab w:val="num" w:pos="0"/>
      </w:tabs>
      <w:jc w:val="center"/>
      <w:outlineLvl w:val="5"/>
    </w:pPr>
    <w:rPr>
      <w:b/>
      <w:szCs w:val="20"/>
    </w:rPr>
  </w:style>
  <w:style w:type="paragraph" w:styleId="Heading7">
    <w:name w:val="heading 7"/>
    <w:basedOn w:val="Normal"/>
    <w:next w:val="Normal"/>
    <w:qFormat/>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Cs w:val="20"/>
    </w:rPr>
  </w:style>
  <w:style w:type="character" w:customStyle="1" w:styleId="EmailStyle20">
    <w:name w:val="EmailStyle20"/>
    <w:rPr>
      <w:rFonts w:ascii="Arial" w:hAnsi="Arial" w:cs="Arial"/>
      <w:color w:val="000000"/>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sid w:val="004E0B99"/>
    <w:rPr>
      <w:color w:val="0000FF"/>
      <w:u w:val="single"/>
    </w:rPr>
  </w:style>
  <w:style w:type="character" w:styleId="FollowedHyperlink">
    <w:name w:val="FollowedHyperlink"/>
    <w:rsid w:val="00AF1F2A"/>
    <w:rPr>
      <w:color w:val="800080"/>
      <w:u w:val="single"/>
    </w:rPr>
  </w:style>
  <w:style w:type="paragraph" w:styleId="BalloonText">
    <w:name w:val="Balloon Text"/>
    <w:basedOn w:val="Normal"/>
    <w:semiHidden/>
    <w:rsid w:val="00A87B1F"/>
    <w:rPr>
      <w:rFonts w:ascii="Tahoma" w:hAnsi="Tahoma" w:cs="Tahoma"/>
      <w:sz w:val="16"/>
      <w:szCs w:val="16"/>
    </w:rPr>
  </w:style>
  <w:style w:type="table" w:styleId="TableTheme">
    <w:name w:val="Table Theme"/>
    <w:basedOn w:val="TableNormal"/>
    <w:rsid w:val="00D3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rsid w:val="00D574CA"/>
    <w:pPr>
      <w:widowControl w:val="0"/>
      <w:spacing w:after="200" w:line="276" w:lineRule="auto"/>
    </w:pPr>
    <w:rPr>
      <w:rFonts w:ascii="Arial Narrow" w:hAnsi="Arial Narrow"/>
      <w:noProof/>
      <w:color w:val="11406B"/>
      <w:sz w:val="48"/>
      <w:szCs w:val="48"/>
    </w:rPr>
  </w:style>
  <w:style w:type="character" w:customStyle="1" w:styleId="FooterChar">
    <w:name w:val="Footer Char"/>
    <w:link w:val="Footer"/>
    <w:uiPriority w:val="99"/>
    <w:rsid w:val="00D574CA"/>
    <w:rPr>
      <w:sz w:val="24"/>
      <w:szCs w:val="24"/>
    </w:rPr>
  </w:style>
  <w:style w:type="table" w:styleId="LightList-Accent1">
    <w:name w:val="Light List Accent 1"/>
    <w:basedOn w:val="TableNormal"/>
    <w:uiPriority w:val="61"/>
    <w:rsid w:val="005423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B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3F3D44"/>
    <w:rPr>
      <w:sz w:val="16"/>
      <w:szCs w:val="16"/>
    </w:rPr>
  </w:style>
  <w:style w:type="paragraph" w:styleId="CommentText">
    <w:name w:val="annotation text"/>
    <w:basedOn w:val="Normal"/>
    <w:link w:val="CommentTextChar"/>
    <w:uiPriority w:val="99"/>
    <w:rsid w:val="003F3D44"/>
    <w:rPr>
      <w:sz w:val="20"/>
      <w:szCs w:val="20"/>
    </w:rPr>
  </w:style>
  <w:style w:type="character" w:customStyle="1" w:styleId="CommentTextChar">
    <w:name w:val="Comment Text Char"/>
    <w:basedOn w:val="DefaultParagraphFont"/>
    <w:link w:val="CommentText"/>
    <w:uiPriority w:val="99"/>
    <w:rsid w:val="003F3D44"/>
  </w:style>
  <w:style w:type="paragraph" w:styleId="CommentSubject">
    <w:name w:val="annotation subject"/>
    <w:basedOn w:val="CommentText"/>
    <w:next w:val="CommentText"/>
    <w:link w:val="CommentSubjectChar"/>
    <w:rsid w:val="003F3D44"/>
    <w:rPr>
      <w:b/>
      <w:bCs/>
    </w:rPr>
  </w:style>
  <w:style w:type="character" w:customStyle="1" w:styleId="CommentSubjectChar">
    <w:name w:val="Comment Subject Char"/>
    <w:basedOn w:val="CommentTextChar"/>
    <w:link w:val="CommentSubject"/>
    <w:rsid w:val="003F3D44"/>
    <w:rPr>
      <w:b/>
      <w:bCs/>
    </w:rPr>
  </w:style>
  <w:style w:type="paragraph" w:styleId="ListParagraph">
    <w:name w:val="List Paragraph"/>
    <w:basedOn w:val="Normal"/>
    <w:uiPriority w:val="34"/>
    <w:qFormat/>
    <w:rsid w:val="007163E2"/>
    <w:pPr>
      <w:ind w:left="720"/>
      <w:contextualSpacing/>
    </w:pPr>
  </w:style>
  <w:style w:type="paragraph" w:customStyle="1" w:styleId="Default">
    <w:name w:val="Default"/>
    <w:rsid w:val="0037407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42351"/>
    <w:rPr>
      <w:sz w:val="24"/>
      <w:szCs w:val="24"/>
    </w:rPr>
  </w:style>
  <w:style w:type="paragraph" w:styleId="BodyText2">
    <w:name w:val="Body Text 2"/>
    <w:basedOn w:val="Normal"/>
    <w:link w:val="BodyText2Char"/>
    <w:rsid w:val="00F1552A"/>
    <w:pPr>
      <w:jc w:val="both"/>
    </w:pPr>
    <w:rPr>
      <w:b/>
      <w:bCs/>
      <w:sz w:val="22"/>
    </w:rPr>
  </w:style>
  <w:style w:type="character" w:customStyle="1" w:styleId="BodyText2Char">
    <w:name w:val="Body Text 2 Char"/>
    <w:basedOn w:val="DefaultParagraphFont"/>
    <w:link w:val="BodyText2"/>
    <w:rsid w:val="00F1552A"/>
    <w:rPr>
      <w:b/>
      <w:bCs/>
      <w:sz w:val="22"/>
      <w:szCs w:val="24"/>
    </w:rPr>
  </w:style>
  <w:style w:type="character" w:customStyle="1" w:styleId="UnresolvedMention1">
    <w:name w:val="Unresolved Mention1"/>
    <w:basedOn w:val="DefaultParagraphFont"/>
    <w:uiPriority w:val="99"/>
    <w:semiHidden/>
    <w:unhideWhenUsed/>
    <w:rsid w:val="006E1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48475">
      <w:bodyDiv w:val="1"/>
      <w:marLeft w:val="0"/>
      <w:marRight w:val="0"/>
      <w:marTop w:val="0"/>
      <w:marBottom w:val="0"/>
      <w:divBdr>
        <w:top w:val="none" w:sz="0" w:space="0" w:color="auto"/>
        <w:left w:val="none" w:sz="0" w:space="0" w:color="auto"/>
        <w:bottom w:val="none" w:sz="0" w:space="0" w:color="auto"/>
        <w:right w:val="none" w:sz="0" w:space="0" w:color="auto"/>
      </w:divBdr>
    </w:div>
    <w:div w:id="408160388">
      <w:bodyDiv w:val="1"/>
      <w:marLeft w:val="0"/>
      <w:marRight w:val="0"/>
      <w:marTop w:val="0"/>
      <w:marBottom w:val="0"/>
      <w:divBdr>
        <w:top w:val="none" w:sz="0" w:space="0" w:color="auto"/>
        <w:left w:val="none" w:sz="0" w:space="0" w:color="auto"/>
        <w:bottom w:val="none" w:sz="0" w:space="0" w:color="auto"/>
        <w:right w:val="none" w:sz="0" w:space="0" w:color="auto"/>
      </w:divBdr>
    </w:div>
    <w:div w:id="689137911">
      <w:bodyDiv w:val="1"/>
      <w:marLeft w:val="0"/>
      <w:marRight w:val="0"/>
      <w:marTop w:val="0"/>
      <w:marBottom w:val="0"/>
      <w:divBdr>
        <w:top w:val="none" w:sz="0" w:space="0" w:color="auto"/>
        <w:left w:val="none" w:sz="0" w:space="0" w:color="auto"/>
        <w:bottom w:val="none" w:sz="0" w:space="0" w:color="auto"/>
        <w:right w:val="none" w:sz="0" w:space="0" w:color="auto"/>
      </w:divBdr>
    </w:div>
    <w:div w:id="1124691593">
      <w:bodyDiv w:val="1"/>
      <w:marLeft w:val="0"/>
      <w:marRight w:val="0"/>
      <w:marTop w:val="0"/>
      <w:marBottom w:val="0"/>
      <w:divBdr>
        <w:top w:val="none" w:sz="0" w:space="0" w:color="auto"/>
        <w:left w:val="none" w:sz="0" w:space="0" w:color="auto"/>
        <w:bottom w:val="none" w:sz="0" w:space="0" w:color="auto"/>
        <w:right w:val="none" w:sz="0" w:space="0" w:color="auto"/>
      </w:divBdr>
      <w:divsChild>
        <w:div w:id="421417658">
          <w:marLeft w:val="0"/>
          <w:marRight w:val="0"/>
          <w:marTop w:val="0"/>
          <w:marBottom w:val="0"/>
          <w:divBdr>
            <w:top w:val="none" w:sz="0" w:space="0" w:color="auto"/>
            <w:left w:val="none" w:sz="0" w:space="0" w:color="auto"/>
            <w:bottom w:val="none" w:sz="0" w:space="0" w:color="auto"/>
            <w:right w:val="none" w:sz="0" w:space="0" w:color="auto"/>
          </w:divBdr>
        </w:div>
        <w:div w:id="1452554935">
          <w:marLeft w:val="0"/>
          <w:marRight w:val="0"/>
          <w:marTop w:val="0"/>
          <w:marBottom w:val="0"/>
          <w:divBdr>
            <w:top w:val="none" w:sz="0" w:space="0" w:color="auto"/>
            <w:left w:val="none" w:sz="0" w:space="0" w:color="auto"/>
            <w:bottom w:val="none" w:sz="0" w:space="0" w:color="auto"/>
            <w:right w:val="none" w:sz="0" w:space="0" w:color="auto"/>
          </w:divBdr>
        </w:div>
      </w:divsChild>
    </w:div>
    <w:div w:id="1137530516">
      <w:bodyDiv w:val="1"/>
      <w:marLeft w:val="0"/>
      <w:marRight w:val="0"/>
      <w:marTop w:val="0"/>
      <w:marBottom w:val="0"/>
      <w:divBdr>
        <w:top w:val="none" w:sz="0" w:space="0" w:color="auto"/>
        <w:left w:val="none" w:sz="0" w:space="0" w:color="auto"/>
        <w:bottom w:val="none" w:sz="0" w:space="0" w:color="auto"/>
        <w:right w:val="none" w:sz="0" w:space="0" w:color="auto"/>
      </w:divBdr>
    </w:div>
    <w:div w:id="1138382736">
      <w:bodyDiv w:val="1"/>
      <w:marLeft w:val="0"/>
      <w:marRight w:val="0"/>
      <w:marTop w:val="0"/>
      <w:marBottom w:val="0"/>
      <w:divBdr>
        <w:top w:val="none" w:sz="0" w:space="0" w:color="auto"/>
        <w:left w:val="none" w:sz="0" w:space="0" w:color="auto"/>
        <w:bottom w:val="none" w:sz="0" w:space="0" w:color="auto"/>
        <w:right w:val="none" w:sz="0" w:space="0" w:color="auto"/>
      </w:divBdr>
    </w:div>
    <w:div w:id="1233001515">
      <w:bodyDiv w:val="1"/>
      <w:marLeft w:val="0"/>
      <w:marRight w:val="0"/>
      <w:marTop w:val="0"/>
      <w:marBottom w:val="0"/>
      <w:divBdr>
        <w:top w:val="none" w:sz="0" w:space="0" w:color="auto"/>
        <w:left w:val="none" w:sz="0" w:space="0" w:color="auto"/>
        <w:bottom w:val="none" w:sz="0" w:space="0" w:color="auto"/>
        <w:right w:val="none" w:sz="0" w:space="0" w:color="auto"/>
      </w:divBdr>
    </w:div>
    <w:div w:id="1290239158">
      <w:bodyDiv w:val="1"/>
      <w:marLeft w:val="0"/>
      <w:marRight w:val="0"/>
      <w:marTop w:val="0"/>
      <w:marBottom w:val="0"/>
      <w:divBdr>
        <w:top w:val="none" w:sz="0" w:space="0" w:color="auto"/>
        <w:left w:val="none" w:sz="0" w:space="0" w:color="auto"/>
        <w:bottom w:val="none" w:sz="0" w:space="0" w:color="auto"/>
        <w:right w:val="none" w:sz="0" w:space="0" w:color="auto"/>
      </w:divBdr>
    </w:div>
    <w:div w:id="1370761326">
      <w:bodyDiv w:val="1"/>
      <w:marLeft w:val="0"/>
      <w:marRight w:val="0"/>
      <w:marTop w:val="0"/>
      <w:marBottom w:val="0"/>
      <w:divBdr>
        <w:top w:val="none" w:sz="0" w:space="0" w:color="auto"/>
        <w:left w:val="none" w:sz="0" w:space="0" w:color="auto"/>
        <w:bottom w:val="none" w:sz="0" w:space="0" w:color="auto"/>
        <w:right w:val="none" w:sz="0" w:space="0" w:color="auto"/>
      </w:divBdr>
    </w:div>
    <w:div w:id="138525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aarc.org/wp-content/uploads/2014/08/08.07.1063.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uptodate.co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uptodat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ice.org.uk/guidance/cg150/chapter/Key-priorities-for-implementation"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americanheadachesociety.org/news/ahs-amf-statement-oxygen-therapy/" TargetMode="External"/><Relationship Id="rId10" Type="http://schemas.openxmlformats.org/officeDocument/2006/relationships/footnotes" Target="footnotes.xml"/><Relationship Id="rId19" Type="http://schemas.openxmlformats.org/officeDocument/2006/relationships/hyperlink" Target="http://www.uptodat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cms.hhs.gov/mcd/search.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CFDE1DB4D0654BBEC650463CDB48A0" ma:contentTypeVersion="42" ma:contentTypeDescription="Create a new document." ma:contentTypeScope="" ma:versionID="b5d0284fcae36a7d668b520878f95497">
  <xsd:schema xmlns:xsd="http://www.w3.org/2001/XMLSchema" xmlns:xs="http://www.w3.org/2001/XMLSchema" xmlns:p="http://schemas.microsoft.com/office/2006/metadata/properties" xmlns:ns2="5aec40aa-daff-402a-8caf-613c72169fe5" xmlns:ns3="572ca965-256a-4485-8fe1-bc861aae90a1" targetNamespace="http://schemas.microsoft.com/office/2006/metadata/properties" ma:root="true" ma:fieldsID="43eb587b91e346cc0b6c88d3b53da1d7" ns2:_="" ns3:_="">
    <xsd:import namespace="5aec40aa-daff-402a-8caf-613c72169fe5"/>
    <xsd:import namespace="572ca965-256a-4485-8fe1-bc861aae90a1"/>
    <xsd:element name="properties">
      <xsd:complexType>
        <xsd:sequence>
          <xsd:element name="documentManagement">
            <xsd:complexType>
              <xsd:all>
                <xsd:element ref="ns2:HS_x0020_Number" minOccurs="0"/>
                <xsd:element ref="ns2:Doc_x0020_Type"/>
                <xsd:element ref="ns2:LOB_x0028_s_x0029_" minOccurs="0"/>
                <xsd:element ref="ns2:Status" minOccurs="0"/>
                <xsd:element ref="ns2:RetroReview_x0020_Status" minOccurs="0"/>
                <xsd:element ref="ns2:Comments" minOccurs="0"/>
                <xsd:element ref="ns2:CPT_x0020_Codes" minOccurs="0"/>
                <xsd:element ref="ns2:CPT_x0020_Codes_x0020_2" minOccurs="0"/>
                <xsd:element ref="ns2:CPT_x0020_Codes_x0020_3" minOccurs="0"/>
                <xsd:element ref="ns2:CPT_x0020_Codes_x0020_4" minOccurs="0"/>
                <xsd:element ref="ns2:HCPC_x0020_Codes0" minOccurs="0"/>
                <xsd:element ref="ns2:HCPC_x0020_Codes_x0020_2" minOccurs="0"/>
                <xsd:element ref="ns2:_x0049_CD10" minOccurs="0"/>
                <xsd:element ref="ns2:ICD10_x0020_Codes_x0020_2" minOccurs="0"/>
                <xsd:element ref="ns2:ICD10_x0020_Codes_x0020_3" minOccurs="0"/>
                <xsd:element ref="ns2:ICD10_x0020_Codes_x0020_4" minOccurs="0"/>
                <xsd:element ref="ns2:ICD10_x0020_Codes_x0020_5" minOccurs="0"/>
                <xsd:element ref="ns2:MCG" minOccurs="0"/>
                <xsd:element ref="ns2:InterQual" minOccurs="0"/>
                <xsd:element ref="ns2:Posted_x0020_Version" minOccurs="0"/>
                <xsd:element ref="ns2:CP_x0020_Updates_x0020_Sent" minOccurs="0"/>
                <xsd:element ref="ns2:Last_x0020_Revis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c40aa-daff-402a-8caf-613c72169fe5" elementFormDefault="qualified">
    <xsd:import namespace="http://schemas.microsoft.com/office/2006/documentManagement/types"/>
    <xsd:import namespace="http://schemas.microsoft.com/office/infopath/2007/PartnerControls"/>
    <xsd:element name="HS_x0020_Number" ma:index="2" nillable="true" ma:displayName="HS Number" ma:decimals="-1" ma:description="Number assigned by Health Services (also known as the Policy Number)" ma:internalName="HS_x0020_Number">
      <xsd:simpleType>
        <xsd:restriction base="dms:Number"/>
      </xsd:simpleType>
    </xsd:element>
    <xsd:element name="Doc_x0020_Type" ma:index="3" ma:displayName="Doc Type" ma:format="Dropdown" ma:internalName="Doc_x0020_Type">
      <xsd:simpleType>
        <xsd:restriction base="dms:Choice">
          <xsd:enumeration value="CCG"/>
          <xsd:enumeration value="CEG"/>
          <xsd:enumeration value="CPG"/>
          <xsd:enumeration value="CPGD"/>
        </xsd:restriction>
      </xsd:simpleType>
    </xsd:element>
    <xsd:element name="LOB_x0028_s_x0029_" ma:index="4" nillable="true" ma:displayName="LOB(s)" ma:description="Applicable LOB(s)." ma:internalName="LOB_x0028_s_x0029_" ma:requiredMultiChoice="true">
      <xsd:complexType>
        <xsd:complexContent>
          <xsd:extension base="dms:MultiChoice">
            <xsd:sequence>
              <xsd:element name="Value" maxOccurs="unbounded" minOccurs="0" nillable="true">
                <xsd:simpleType>
                  <xsd:restriction base="dms:Choice">
                    <xsd:enumeration value="All - Medicaid, Medicare"/>
                    <xsd:enumeration value="Medicaid - All"/>
                    <xsd:enumeration value="Medicare - All"/>
                    <xsd:enumeration value="Medicaid - AZ"/>
                    <xsd:enumeration value="Medicaid - FL"/>
                    <xsd:enumeration value="Medicaid - GA"/>
                    <xsd:enumeration value="Medicaid - HI"/>
                    <xsd:enumeration value="Medicaid - IL"/>
                    <xsd:enumeration value="Medicaid - KY"/>
                    <xsd:enumeration value="Medicaid - ME"/>
                    <xsd:enumeration value="Medicaid - MO"/>
                    <xsd:enumeration value="Medicaid - NE"/>
                    <xsd:enumeration value="Medicaid - NJ"/>
                    <xsd:enumeration value="Medicaid - NY"/>
                    <xsd:enumeration value="Medicaid - SC"/>
                    <xsd:enumeration value="Medicare - AZ"/>
                    <xsd:enumeration value="Medicare - CA (Easy Choice)"/>
                    <xsd:enumeration value="Medicare - CT"/>
                    <xsd:enumeration value="Medicare - FL"/>
                    <xsd:enumeration value="Medicare - GA"/>
                    <xsd:enumeration value="Medicare - HI"/>
                    <xsd:enumeration value="Medicare - IL"/>
                    <xsd:enumeration value="Medicare - KY"/>
                    <xsd:enumeration value="Medicare - LA"/>
                    <xsd:enumeration value="Medicare - ME"/>
                    <xsd:enumeration value="Medicare - NJ"/>
                    <xsd:enumeration value="Medicare - NY"/>
                    <xsd:enumeration value="Medicare - TX"/>
                    <xsd:enumeration value="Medicare - Windsor (AR, MS, SC, TN)"/>
                  </xsd:restriction>
                </xsd:simpleType>
              </xsd:element>
            </xsd:sequence>
          </xsd:extension>
        </xsd:complexContent>
      </xsd:complexType>
    </xsd:element>
    <xsd:element name="Status" ma:index="5" nillable="true" ma:displayName="Status" ma:format="Dropdown" ma:internalName="Status">
      <xsd:simpleType>
        <xsd:restriction base="dms:Choice">
          <xsd:enumeration value="Draft"/>
          <xsd:enumeration value="Pending MPC"/>
          <xsd:enumeration value="MPC Approved"/>
          <xsd:enumeration value="In Review"/>
          <xsd:enumeration value="CPPC Approved"/>
          <xsd:enumeration value="UMAC Approved"/>
          <xsd:enumeration value="Sent for Upload to MMP"/>
          <xsd:enumeration value="Sent to DigiComm"/>
          <xsd:enumeration value="Approved"/>
          <xsd:enumeration value="Retired"/>
        </xsd:restriction>
      </xsd:simpleType>
    </xsd:element>
    <xsd:element name="RetroReview_x0020_Status" ma:index="6" nillable="true" ma:displayName="Coding Status" ma:format="Dropdown" ma:internalName="RetroReview_x0020_Status">
      <xsd:simpleType>
        <xsd:restriction base="dms:Choice">
          <xsd:enumeration value="0 (default)"/>
          <xsd:enumeration value="1 Ready for Coding Review"/>
          <xsd:enumeration value="2 DO NOT USE"/>
          <xsd:enumeration value="3 Coding Review Complete"/>
          <xsd:enumeration value="4 DO NOT USE"/>
          <xsd:enumeration value="5 Review Complete"/>
        </xsd:restriction>
      </xsd:simpleType>
    </xsd:element>
    <xsd:element name="Comments" ma:index="7" nillable="true" ma:displayName="Comments" ma:internalName="Comments">
      <xsd:simpleType>
        <xsd:restriction base="dms:Note">
          <xsd:maxLength value="255"/>
        </xsd:restriction>
      </xsd:simpleType>
    </xsd:element>
    <xsd:element name="CPT_x0020_Codes" ma:index="9" nillable="true" ma:displayName="CPT Codes" ma:internalName="CPT_x0020_Codes">
      <xsd:simpleType>
        <xsd:restriction base="dms:Note">
          <xsd:maxLength value="255"/>
        </xsd:restriction>
      </xsd:simpleType>
    </xsd:element>
    <xsd:element name="CPT_x0020_Codes_x0020_2" ma:index="10" nillable="true" ma:displayName="CPT Codes 2" ma:internalName="CPT_x0020_Codes_x0020_2">
      <xsd:simpleType>
        <xsd:restriction base="dms:Note">
          <xsd:maxLength value="255"/>
        </xsd:restriction>
      </xsd:simpleType>
    </xsd:element>
    <xsd:element name="CPT_x0020_Codes_x0020_3" ma:index="11" nillable="true" ma:displayName="CPT Codes 3" ma:internalName="CPT_x0020_Codes_x0020_3">
      <xsd:simpleType>
        <xsd:restriction base="dms:Note">
          <xsd:maxLength value="255"/>
        </xsd:restriction>
      </xsd:simpleType>
    </xsd:element>
    <xsd:element name="CPT_x0020_Codes_x0020_4" ma:index="12" nillable="true" ma:displayName="CPT Codes 4" ma:internalName="CPT_x0020_Codes_x0020_4">
      <xsd:simpleType>
        <xsd:restriction base="dms:Note">
          <xsd:maxLength value="255"/>
        </xsd:restriction>
      </xsd:simpleType>
    </xsd:element>
    <xsd:element name="HCPC_x0020_Codes0" ma:index="13" nillable="true" ma:displayName="HCPC Codes" ma:internalName="HCPC_x0020_Codes0">
      <xsd:simpleType>
        <xsd:restriction base="dms:Note">
          <xsd:maxLength value="255"/>
        </xsd:restriction>
      </xsd:simpleType>
    </xsd:element>
    <xsd:element name="HCPC_x0020_Codes_x0020_2" ma:index="14" nillable="true" ma:displayName="HCPC Codes 2" ma:internalName="HCPC_x0020_Codes_x0020_2">
      <xsd:simpleType>
        <xsd:restriction base="dms:Note">
          <xsd:maxLength value="255"/>
        </xsd:restriction>
      </xsd:simpleType>
    </xsd:element>
    <xsd:element name="_x0049_CD10" ma:index="15" nillable="true" ma:displayName="ICD10" ma:internalName="_x0049_CD10">
      <xsd:simpleType>
        <xsd:restriction base="dms:Note">
          <xsd:maxLength value="255"/>
        </xsd:restriction>
      </xsd:simpleType>
    </xsd:element>
    <xsd:element name="ICD10_x0020_Codes_x0020_2" ma:index="16" nillable="true" ma:displayName="ICD10 Codes 2" ma:internalName="ICD10_x0020_Codes_x0020_2">
      <xsd:simpleType>
        <xsd:restriction base="dms:Note">
          <xsd:maxLength value="255"/>
        </xsd:restriction>
      </xsd:simpleType>
    </xsd:element>
    <xsd:element name="ICD10_x0020_Codes_x0020_3" ma:index="17" nillable="true" ma:displayName="ICD10 Codes 3" ma:internalName="ICD10_x0020_Codes_x0020_3">
      <xsd:simpleType>
        <xsd:restriction base="dms:Note">
          <xsd:maxLength value="255"/>
        </xsd:restriction>
      </xsd:simpleType>
    </xsd:element>
    <xsd:element name="ICD10_x0020_Codes_x0020_4" ma:index="18" nillable="true" ma:displayName="ICD10 Codes 4" ma:internalName="ICD10_x0020_Codes_x0020_4">
      <xsd:simpleType>
        <xsd:restriction base="dms:Note">
          <xsd:maxLength value="255"/>
        </xsd:restriction>
      </xsd:simpleType>
    </xsd:element>
    <xsd:element name="ICD10_x0020_Codes_x0020_5" ma:index="19" nillable="true" ma:displayName="ICD10 Codes 5" ma:internalName="ICD10_x0020_Codes_x0020_5">
      <xsd:simpleType>
        <xsd:restriction base="dms:Note">
          <xsd:maxLength value="255"/>
        </xsd:restriction>
      </xsd:simpleType>
    </xsd:element>
    <xsd:element name="MCG" ma:index="20" nillable="true" ma:displayName="MCG" ma:default="Yes" ma:format="Dropdown" ma:internalName="MCG">
      <xsd:simpleType>
        <xsd:restriction base="dms:Choice">
          <xsd:enumeration value="Yes"/>
          <xsd:enumeration value="No"/>
        </xsd:restriction>
      </xsd:simpleType>
    </xsd:element>
    <xsd:element name="InterQual" ma:index="21" nillable="true" ma:displayName="InterQual" ma:format="Dropdown" ma:internalName="InterQual">
      <xsd:simpleType>
        <xsd:restriction base="dms:Choice">
          <xsd:enumeration value="Dual - CCG &amp; IQ"/>
          <xsd:enumeration value="N/A"/>
          <xsd:enumeration value="No"/>
          <xsd:enumeration value="Yes"/>
        </xsd:restriction>
      </xsd:simpleType>
    </xsd:element>
    <xsd:element name="Posted_x0020_Version" ma:index="22" nillable="true" ma:displayName="Posted Version" ma:internalName="Posted_x0020_Version">
      <xsd:simpleType>
        <xsd:restriction base="dms:Text">
          <xsd:maxLength value="255"/>
        </xsd:restriction>
      </xsd:simpleType>
    </xsd:element>
    <xsd:element name="CP_x0020_Updates_x0020_Sent" ma:index="23" nillable="true" ma:displayName="CP Updates Sent" ma:internalName="CP_x0020_Updates_x0020_Sent">
      <xsd:simpleType>
        <xsd:restriction base="dms:Text">
          <xsd:maxLength value="255"/>
        </xsd:restriction>
      </xsd:simpleType>
    </xsd:element>
    <xsd:element name="Last_x0020_Revised" ma:index="24" nillable="true" ma:displayName="Last Revised" ma:format="DateOnly" ma:internalName="Last_x0020_Revi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2ca965-256a-4485-8fe1-bc861aae90a1"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72ca965-256a-4485-8fe1-bc861aae90a1">DJFWSFD4XKSH-907611394-1375</_dlc_DocId>
    <_dlc_DocIdUrl xmlns="572ca965-256a-4485-8fe1-bc861aae90a1">
      <Url>https://wellcareportal19.wellcare.com/HealthServices/HSProjects/ClinicalPolicy/_layouts/15/DocIdRedir.aspx?ID=DJFWSFD4XKSH-907611394-1375</Url>
      <Description>DJFWSFD4XKSH-907611394-1375</Description>
    </_dlc_DocIdUrl>
    <LOB_x0028_s_x0029_ xmlns="5aec40aa-daff-402a-8caf-613c72169fe5"/>
    <Posted_x0020_Version xmlns="5aec40aa-daff-402a-8caf-613c72169fe5" xsi:nil="true"/>
    <CPT_x0020_Codes xmlns="5aec40aa-daff-402a-8caf-613c72169fe5" xsi:nil="true"/>
    <Comments xmlns="5aec40aa-daff-402a-8caf-613c72169fe5" xsi:nil="true"/>
    <ICD10_x0020_Codes_x0020_5 xmlns="5aec40aa-daff-402a-8caf-613c72169fe5" xsi:nil="true"/>
    <ICD10_x0020_Codes_x0020_4 xmlns="5aec40aa-daff-402a-8caf-613c72169fe5" xsi:nil="true"/>
    <HCPC_x0020_Codes_x0020_2 xmlns="5aec40aa-daff-402a-8caf-613c72169fe5" xsi:nil="true"/>
    <MCG xmlns="5aec40aa-daff-402a-8caf-613c72169fe5">Yes</MCG>
    <InterQual xmlns="5aec40aa-daff-402a-8caf-613c72169fe5" xsi:nil="true"/>
    <CP_x0020_Updates_x0020_Sent xmlns="5aec40aa-daff-402a-8caf-613c72169fe5" xsi:nil="true"/>
    <_x0049_CD10 xmlns="5aec40aa-daff-402a-8caf-613c72169fe5" xsi:nil="true"/>
    <RetroReview_x0020_Status xmlns="5aec40aa-daff-402a-8caf-613c72169fe5" xsi:nil="true"/>
    <ICD10_x0020_Codes_x0020_3 xmlns="5aec40aa-daff-402a-8caf-613c72169fe5" xsi:nil="true"/>
    <Doc_x0020_Type xmlns="5aec40aa-daff-402a-8caf-613c72169fe5"/>
    <Status xmlns="5aec40aa-daff-402a-8caf-613c72169fe5" xsi:nil="true"/>
    <CPT_x0020_Codes_x0020_4 xmlns="5aec40aa-daff-402a-8caf-613c72169fe5" xsi:nil="true"/>
    <ICD10_x0020_Codes_x0020_2 xmlns="5aec40aa-daff-402a-8caf-613c72169fe5" xsi:nil="true"/>
    <CPT_x0020_Codes_x0020_3 xmlns="5aec40aa-daff-402a-8caf-613c72169fe5" xsi:nil="true"/>
    <HCPC_x0020_Codes0 xmlns="5aec40aa-daff-402a-8caf-613c72169fe5" xsi:nil="true"/>
    <Last_x0020_Revised xmlns="5aec40aa-daff-402a-8caf-613c72169fe5" xsi:nil="true"/>
    <CPT_x0020_Codes_x0020_2 xmlns="5aec40aa-daff-402a-8caf-613c72169fe5" xsi:nil="true"/>
    <HS_x0020_Number xmlns="5aec40aa-daff-402a-8caf-613c72169fe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63CDA-7BFF-4E7D-88B2-7C9C4E02FFE8}">
  <ds:schemaRefs>
    <ds:schemaRef ds:uri="http://schemas.microsoft.com/sharepoint/events"/>
  </ds:schemaRefs>
</ds:datastoreItem>
</file>

<file path=customXml/itemProps2.xml><?xml version="1.0" encoding="utf-8"?>
<ds:datastoreItem xmlns:ds="http://schemas.openxmlformats.org/officeDocument/2006/customXml" ds:itemID="{7E431893-C349-499C-918F-93721D0E29AB}">
  <ds:schemaRefs>
    <ds:schemaRef ds:uri="http://schemas.openxmlformats.org/officeDocument/2006/bibliography"/>
  </ds:schemaRefs>
</ds:datastoreItem>
</file>

<file path=customXml/itemProps3.xml><?xml version="1.0" encoding="utf-8"?>
<ds:datastoreItem xmlns:ds="http://schemas.openxmlformats.org/officeDocument/2006/customXml" ds:itemID="{31DB0C6C-5572-4FF3-B681-7B2EEA20E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c40aa-daff-402a-8caf-613c72169fe5"/>
    <ds:schemaRef ds:uri="572ca965-256a-4485-8fe1-bc861aae9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18BAC-3545-4337-B6F8-9CBCFBA3FBD9}">
  <ds:schemaRefs>
    <ds:schemaRef ds:uri="http://schemas.microsoft.com/office/2006/metadata/properties"/>
    <ds:schemaRef ds:uri="http://schemas.microsoft.com/office/infopath/2007/PartnerControls"/>
    <ds:schemaRef ds:uri="572ca965-256a-4485-8fe1-bc861aae90a1"/>
    <ds:schemaRef ds:uri="5aec40aa-daff-402a-8caf-613c72169fe5"/>
  </ds:schemaRefs>
</ds:datastoreItem>
</file>

<file path=customXml/itemProps5.xml><?xml version="1.0" encoding="utf-8"?>
<ds:datastoreItem xmlns:ds="http://schemas.openxmlformats.org/officeDocument/2006/customXml" ds:itemID="{D25A9C66-CD05-41F6-B7DA-9B73A0562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5228</Words>
  <Characters>29801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34960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Centene User</dc:creator>
  <cp:lastModifiedBy>Laura Trahan</cp:lastModifiedBy>
  <cp:revision>24</cp:revision>
  <cp:lastPrinted>2024-11-22T17:21:00Z</cp:lastPrinted>
  <dcterms:created xsi:type="dcterms:W3CDTF">2024-11-18T16:48:00Z</dcterms:created>
  <dcterms:modified xsi:type="dcterms:W3CDTF">2024-11-22T17:21:00Z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0x010100D6CFDE1DB4D0654BBEC650463CDB48A0</vt:lpwstr>
  </property>
  <property fmtid="{D5CDD505-2E9C-101B-9397-08002B2CF9AE}" pid="3" name="_dlc_DocIdItemGuid">
    <vt:lpwstr>363f9e87-1cee-4fde-9f35-a9c33ac53be7</vt:lpwstr>
  </property>
  <property fmtid="{D5CDD505-2E9C-101B-9397-08002B2CF9AE}" pid="4" name="MSIP_Label_5a776955-85f6-4fec-9553-96dd3e0373c4_Enabled">
    <vt:lpwstr>true</vt:lpwstr>
  </property>
  <property fmtid="{D5CDD505-2E9C-101B-9397-08002B2CF9AE}" pid="5" name="MSIP_Label_5a776955-85f6-4fec-9553-96dd3e0373c4_SetDate">
    <vt:lpwstr>2021-12-09T21:21:19Z</vt:lpwstr>
  </property>
  <property fmtid="{D5CDD505-2E9C-101B-9397-08002B2CF9AE}" pid="6" name="MSIP_Label_5a776955-85f6-4fec-9553-96dd3e0373c4_Method">
    <vt:lpwstr>Standard</vt:lpwstr>
  </property>
  <property fmtid="{D5CDD505-2E9C-101B-9397-08002B2CF9AE}" pid="7" name="MSIP_Label_5a776955-85f6-4fec-9553-96dd3e0373c4_Name">
    <vt:lpwstr>Confidential</vt:lpwstr>
  </property>
  <property fmtid="{D5CDD505-2E9C-101B-9397-08002B2CF9AE}" pid="8" name="MSIP_Label_5a776955-85f6-4fec-9553-96dd3e0373c4_SiteId">
    <vt:lpwstr>f45ccc07-e57e-4d15-bf6f-f6cbccd2d395</vt:lpwstr>
  </property>
  <property fmtid="{D5CDD505-2E9C-101B-9397-08002B2CF9AE}" pid="9" name="MSIP_Label_5a776955-85f6-4fec-9553-96dd3e0373c4_ActionId">
    <vt:lpwstr>89fb36f8-e653-494c-a82f-c802e55b2aa9</vt:lpwstr>
  </property>
  <property fmtid="{D5CDD505-2E9C-101B-9397-08002B2CF9AE}" pid="10" name="MSIP_Label_5a776955-85f6-4fec-9553-96dd3e0373c4_ContentBits">
    <vt:lpwstr>0</vt:lpwstr>
  </property>
</Properties>
</file>